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833C0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ORIENTAÇÕES PARA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SUBMISSÃO DE TRABALHOS/COMUNICAÇÕES ORAIS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NOS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u w:val="single"/>
          <w:shd w:fill="auto" w:val="clear"/>
        </w:rPr>
        <w:t xml:space="preserve">SIMPÓSIOS TEMÁTICOS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FFFF00" w:val="clear"/>
        </w:rPr>
        <w:t xml:space="preserve">Prazo:</w:t>
      </w: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u w:val="single"/>
          <w:shd w:fill="FFFF00" w:val="clear"/>
        </w:rPr>
        <w:t xml:space="preserve">até 04 de dezembro de 2020</w:t>
      </w: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FFFF00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Os Simpósios Temáticos (STs) são espaços destinados à apresentação e discussão de pesquisas concluídas ou em processo de realização sobre uma mesma temática. As propostas de comunicações orais submetidas devem dialogar com a ementa/resumo de cada ST, cumprindo as determinações estabelecidas a seguir.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833C0B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833C0B"/>
          <w:spacing w:val="0"/>
          <w:position w:val="0"/>
          <w:sz w:val="24"/>
          <w:shd w:fill="auto" w:val="clear"/>
        </w:rPr>
        <w:t xml:space="preserve">Cada comunicação oral poderá ter no máximo dois (02) autores (coautoria). No caso das comunicações com dois (02) autores, recomenda-se que apenas um (01) fique responsável pela apresentação, visando otimizar o tempo de apresentação.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No caso de serem 2 autores, cada um deve fazer a inscrição individualmente no sistema.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Os STs poderão</w:t>
      </w:r>
      <w:r>
        <w:rPr>
          <w:rFonts w:ascii="Liberation Serif" w:hAnsi="Liberation Serif" w:cs="Liberation Serif" w:eastAsia="Liberation Serif"/>
          <w:color w:val="833C0B"/>
          <w:spacing w:val="0"/>
          <w:position w:val="0"/>
          <w:sz w:val="24"/>
          <w:shd w:fill="auto" w:val="clear"/>
        </w:rPr>
        <w:t xml:space="preserve"> receber propostas de alunos que estão cursando ou concluíram o </w:t>
      </w:r>
      <w:r>
        <w:rPr>
          <w:rFonts w:ascii="Liberation Serif" w:hAnsi="Liberation Serif" w:cs="Liberation Serif" w:eastAsia="Liberation Serif"/>
          <w:color w:val="833C0B"/>
          <w:spacing w:val="0"/>
          <w:position w:val="0"/>
          <w:sz w:val="24"/>
          <w:u w:val="single"/>
          <w:shd w:fill="auto" w:val="clear"/>
        </w:rPr>
        <w:t xml:space="preserve">Ensino Médio</w:t>
      </w:r>
      <w:r>
        <w:rPr>
          <w:rFonts w:ascii="Liberation Serif" w:hAnsi="Liberation Serif" w:cs="Liberation Serif" w:eastAsia="Liberation Serif"/>
          <w:color w:val="833C0B"/>
          <w:spacing w:val="0"/>
          <w:position w:val="0"/>
          <w:sz w:val="24"/>
          <w:shd w:fill="auto" w:val="clear"/>
        </w:rPr>
        <w:t xml:space="preserve"> e que queiram apresentar as pesquisas desenvolvidas e/ou resultados dos projetos de pesquisa e/ou extensão aos quais estão (estiveram) vinculados, junto aos seus orientadores (as).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FFFF00" w:val="clear"/>
        </w:rPr>
        <w:t xml:space="preserve">Proposta de RESUMO: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O inscrito deve enviar um documento contendo </w:t>
      </w: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u w:val="single"/>
          <w:shd w:fill="auto" w:val="clear"/>
        </w:rPr>
        <w:t xml:space="preserve">o título do trabalho</w:t>
      </w: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 e </w:t>
      </w: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u w:val="single"/>
          <w:shd w:fill="auto" w:val="clear"/>
        </w:rPr>
        <w:t xml:space="preserve">o resumo expandido</w:t>
      </w: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O arquivo deverá conter, no máximo, 1.000 palavras, incluindo título, corpo do resumo e referências.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Recomenda-se Fonte Times New Roman, tamanho 12, espaçamento 1,5 e alinhamento Justificado.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Na inscrição, não utilize caixa alta no texto do resumo, apenas na autoria.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FFFF00" w:val="clear"/>
        </w:rPr>
        <w:t xml:space="preserve">Avaliação das propostas de Comunicação Oral: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A avaliação, o aceite ou a eliminação de trabalhos são de inteira responsabilidade dos coordenadores de cada Simpósio Temático.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FFFF00" w:val="clear"/>
        </w:rPr>
        <w:t xml:space="preserve">Observações gerais: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Caso o Simpósio Temático não atinja um número significativo de participantes, acontecerá a junção de mais de um ST numa mesma sala. Desta forma, os inscritos poderão ter que apresentar seus trabalhos junto a outros STs.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