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 A"/>
        <w:jc w:val="both"/>
        <w:rPr>
          <w:rFonts w:ascii="Arial" w:cs="Arial" w:hAnsi="Arial" w:eastAsia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lang w:val="pt-PT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rtl w:val="0"/>
          <w:lang w:val="pt-PT"/>
        </w:rPr>
        <w:t>Conex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Unifametro</w:t>
      </w:r>
    </w:p>
    <w:p>
      <w:pPr>
        <w:pStyle w:val="Padrão A"/>
        <w:jc w:val="both"/>
        <w:rPr>
          <w:rFonts w:ascii="Arial" w:cs="Arial" w:hAnsi="Arial" w:eastAsia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lang w:val="pt-PT"/>
          <w14:textFill>
            <w14:solidFill>
              <w14:srgbClr w14:val="222222"/>
            </w14:solidFill>
          </w14:textFill>
        </w:rPr>
      </w:pPr>
    </w:p>
    <w:p>
      <w:pPr>
        <w:pStyle w:val="Padrão A"/>
        <w:jc w:val="both"/>
        <w:rPr>
          <w:rFonts w:ascii="Arial" w:cs="Arial" w:hAnsi="Arial" w:eastAsia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lang w:val="pt-PT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Corre</w:t>
      </w:r>
      <w:r>
        <w:rPr>
          <w:rFonts w:ascii="Arial" w:hAnsi="Arial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 de diastema na fase escolar para promo</w:t>
      </w:r>
      <w:r>
        <w:rPr>
          <w:rFonts w:ascii="Arial" w:hAnsi="Arial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 de sa</w:t>
      </w:r>
      <w:r>
        <w:rPr>
          <w:rFonts w:ascii="Arial" w:hAnsi="Arial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de bucal</w:t>
      </w:r>
      <w:r>
        <w:rPr>
          <w:rFonts w:ascii="Arial" w:hAnsi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- Relato de caso</w:t>
      </w:r>
    </w:p>
    <w:p>
      <w:pPr>
        <w:pStyle w:val="Padrão A"/>
        <w:jc w:val="both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:shd w:val="clear" w:color="auto" w:fill="ffffff"/>
          <w:lang w:val="pt-PT"/>
          <w14:textFill>
            <w14:solidFill>
              <w14:srgbClr w14:val="222222"/>
            </w14:solidFill>
          </w14:textFill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O diastema entre incisivos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ocasionado por origem multifatorial, dentre eles: h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bitos delet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rios, hereditariedade, freio labial, dente supranumer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rio, discrep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ncia dento-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ssea positiva, agenesia dos incisivos laterais superiores e microdontia. O mesmo poder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ser fechado fisiologicamente durante a denti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çã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 mista, por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m caso n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ã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 for corrigido durante o primeiro per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odo transicional, poder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comprometer a est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tica e vida social da crian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ç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a. Este trabalho tem como objetivo promover sa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de bucal ao escolar demonstrado por meio de um caso clinico o qual foi corrigido o diastema com aparelho m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vel e fixo posteriormente. Paciente S.C.N.Z, 8 anos, sexo feminino, normossist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ê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mica, classe II unilateral direito e classe I unilateral esquerdo, segundo Angle, perfil convexo, denti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çã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 mista normal. A respons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vel pela paciente relatava o uso de h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bitos como chupeta, mamadeira e dedo at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os 5 anos de idade, a queixa principal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devido ao tamanho do diastema quanto a dificuldade social entre escolares. O diastema apresentava 8mm de dist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ncia entre incisivos centrais superiores, considerado o padr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ã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 anormal. O tratamento proposto foi o uso de aparelho ortod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ô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ntico m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vel, placa expansiva com molas digitais cruzadas, o  parafuso expansor tinha como objetivo fechar o diastema e acompanhar o crescimento da maxila, sendo este eficaz, e ap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esta etapa foi utilizado o aparelho fixo para movimenta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çã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 coroa-raiz concomitante, e obteve-se excelente resultado. Dessa forma, a ortodontia preventiva e interceptiva s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ã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 essenciais para o diagn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stico diferencial precoce das oclusopatias tal como a promo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çã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 de sa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de bucal deve estar presente em todos os  atendimentos para que o paciente seja tratado de acordo com os princ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pios do 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sistema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nico de sa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de(sus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) os quais t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ê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m de direito. O SUS t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ê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m dificuldades quanto a capacita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çã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 de profissionais dentistas e auxiliares de sa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de bucal em determinadas especialidades para  realizarem um tratamento adequado para cada caso. Por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m cabe ao profissional cirurgi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ã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o-dentista o diagn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stico diferencial das anomalias de oclus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ã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 o mais precoce poss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vel, para que possa orientar os respons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veis, indicar um profissional ou realizar o tratamento adequado, oferecendo sa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de, conforto e est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tica ao paciente. 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outline w:val="0"/>
          <w:color w:val="191919"/>
          <w:sz w:val="24"/>
          <w:szCs w:val="24"/>
          <w:rtl w:val="0"/>
          <w14:textFill>
            <w14:solidFill>
              <w14:srgbClr w14:val="1A1A1A"/>
            </w14:solidFill>
          </w14:textFill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outline w:val="0"/>
          <w:color w:val="191919"/>
          <w:sz w:val="24"/>
          <w:szCs w:val="24"/>
          <w:rtl w:val="0"/>
          <w14:textFill>
            <w14:solidFill>
              <w14:srgbClr w14:val="1A1A1A"/>
            </w14:solidFill>
          </w14:textFill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outline w:val="0"/>
          <w:color w:val="191919"/>
          <w:sz w:val="24"/>
          <w:szCs w:val="24"/>
          <w:rtl w:val="0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outline w:val="0"/>
          <w:color w:val="191919"/>
          <w:sz w:val="24"/>
          <w:szCs w:val="24"/>
          <w:rtl w:val="0"/>
          <w:lang w:val="pt-PT"/>
          <w14:textFill>
            <w14:solidFill>
              <w14:srgbClr w14:val="1A1A1A"/>
            </w14:solidFill>
          </w14:textFill>
        </w:rPr>
        <w:t>Refer</w:t>
      </w:r>
      <w:r>
        <w:rPr>
          <w:rFonts w:ascii="Arial" w:hAnsi="Arial" w:hint="default"/>
          <w:outline w:val="0"/>
          <w:color w:val="191919"/>
          <w:sz w:val="24"/>
          <w:szCs w:val="24"/>
          <w:rtl w:val="0"/>
          <w:lang w:val="pt-PT"/>
          <w14:textFill>
            <w14:solidFill>
              <w14:srgbClr w14:val="1A1A1A"/>
            </w14:solidFill>
          </w14:textFill>
        </w:rPr>
        <w:t>ê</w:t>
      </w:r>
      <w:r>
        <w:rPr>
          <w:rFonts w:ascii="Arial" w:hAnsi="Arial"/>
          <w:outline w:val="0"/>
          <w:color w:val="191919"/>
          <w:sz w:val="24"/>
          <w:szCs w:val="24"/>
          <w:rtl w:val="0"/>
          <w:lang w:val="pt-PT"/>
          <w14:textFill>
            <w14:solidFill>
              <w14:srgbClr w14:val="1A1A1A"/>
            </w14:solidFill>
          </w14:textFill>
        </w:rPr>
        <w:t>ncias Bibliogr</w:t>
      </w:r>
      <w:r>
        <w:rPr>
          <w:rFonts w:ascii="Arial" w:hAnsi="Arial" w:hint="default"/>
          <w:outline w:val="0"/>
          <w:color w:val="191919"/>
          <w:sz w:val="24"/>
          <w:szCs w:val="24"/>
          <w:rtl w:val="0"/>
          <w:lang w:val="pt-PT"/>
          <w14:textFill>
            <w14:solidFill>
              <w14:srgbClr w14:val="1A1A1A"/>
            </w14:solidFill>
          </w14:textFill>
        </w:rPr>
        <w:t>á</w:t>
      </w:r>
      <w:r>
        <w:rPr>
          <w:rFonts w:ascii="Arial" w:hAnsi="Arial"/>
          <w:outline w:val="0"/>
          <w:color w:val="191919"/>
          <w:sz w:val="24"/>
          <w:szCs w:val="24"/>
          <w:rtl w:val="0"/>
          <w:lang w:val="pt-PT"/>
          <w14:textFill>
            <w14:solidFill>
              <w14:srgbClr w14:val="1A1A1A"/>
            </w14:solidFill>
          </w14:textFill>
        </w:rPr>
        <w:t>ficas: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outline w:val="0"/>
          <w:color w:val="191919"/>
          <w:sz w:val="24"/>
          <w:szCs w:val="24"/>
          <w:rtl w:val="0"/>
          <w14:textFill>
            <w14:solidFill>
              <w14:srgbClr w14:val="1A1A1A"/>
            </w14:solidFill>
          </w14:textFill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outline w:val="0"/>
          <w:color w:val="191919"/>
          <w:sz w:val="24"/>
          <w:szCs w:val="24"/>
          <w:rtl w:val="0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outline w:val="0"/>
          <w:color w:val="191919"/>
          <w:sz w:val="24"/>
          <w:szCs w:val="24"/>
          <w:rtl w:val="0"/>
          <w:lang w:val="pt-PT"/>
          <w14:textFill>
            <w14:solidFill>
              <w14:srgbClr w14:val="1A1A1A"/>
            </w14:solidFill>
          </w14:textFill>
        </w:rPr>
        <w:t xml:space="preserve">1. </w:t>
      </w:r>
      <w:r>
        <w:rPr>
          <w:rFonts w:ascii="Arial" w:hAnsi="Arial"/>
          <w:outline w:val="0"/>
          <w:color w:val="191919"/>
          <w:sz w:val="24"/>
          <w:szCs w:val="24"/>
          <w:rtl w:val="0"/>
          <w:lang w:val="pt-PT"/>
          <w14:textFill>
            <w14:solidFill>
              <w14:srgbClr w14:val="1A1A1A"/>
            </w14:solidFill>
          </w14:textFill>
        </w:rPr>
        <w:t>ALMEIDA, R. R. et al. Diastema interincisivos centrais superiores: quando e como intervir? Revista Press Ortodon Ortop Facial. Maring</w:t>
      </w:r>
      <w:r>
        <w:rPr>
          <w:rFonts w:ascii="Arial" w:hAnsi="Arial" w:hint="default"/>
          <w:outline w:val="0"/>
          <w:color w:val="191919"/>
          <w:sz w:val="24"/>
          <w:szCs w:val="24"/>
          <w:rtl w:val="0"/>
          <w14:textFill>
            <w14:solidFill>
              <w14:srgbClr w14:val="1A1A1A"/>
            </w14:solidFill>
          </w14:textFill>
        </w:rPr>
        <w:t>á</w:t>
      </w:r>
      <w:r>
        <w:rPr>
          <w:rFonts w:ascii="Arial" w:hAnsi="Arial"/>
          <w:outline w:val="0"/>
          <w:color w:val="191919"/>
          <w:sz w:val="24"/>
          <w:szCs w:val="24"/>
          <w:rtl w:val="0"/>
          <w14:textFill>
            <w14:solidFill>
              <w14:srgbClr w14:val="1A1A1A"/>
            </w14:solidFill>
          </w14:textFill>
        </w:rPr>
        <w:t>, 2004.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cs="Arial" w:hAnsi="Arial" w:eastAsia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2. BERNAB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E, TSAKOS G, OLIVEIRA CM, SHEIHAM A. The impact of orthodontic treatment on the quality of life in adolescents: a case-control study. Eur J Orhtod 2008, 30: 515-520.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Gill Sans MT" w:cs="Gill Sans MT" w:hAnsi="Gill Sans MT" w:eastAsia="Gill Sans MT"/>
          <w:sz w:val="24"/>
          <w:szCs w:val="24"/>
        </w:rPr>
      </w:pPr>
      <w:r>
        <w:rPr>
          <w:rFonts w:ascii="Gill Sans MT" w:cs="Gill Sans MT" w:hAnsi="Gill Sans MT" w:eastAsia="Gill Sans MT"/>
          <w:sz w:val="24"/>
          <w:szCs w:val="24"/>
          <w:rtl w:val="0"/>
          <w:lang w:val="pt-PT"/>
        </w:rPr>
        <w:t xml:space="preserve">3. </w:t>
      </w:r>
      <w:r>
        <w:rPr>
          <w:rFonts w:ascii="Gill Sans MT" w:cs="Gill Sans MT" w:hAnsi="Gill Sans MT" w:eastAsia="Gill Sans MT"/>
          <w:sz w:val="24"/>
          <w:szCs w:val="24"/>
          <w:rtl w:val="0"/>
        </w:rPr>
        <w:t>P</w:t>
      </w:r>
      <w:r>
        <w:rPr>
          <w:rFonts w:ascii="Gill Sans MT" w:cs="Gill Sans MT" w:hAnsi="Gill Sans MT" w:eastAsia="Gill Sans MT"/>
          <w:sz w:val="24"/>
          <w:szCs w:val="24"/>
          <w:rtl w:val="0"/>
          <w:lang w:val="pt-PT"/>
        </w:rPr>
        <w:t xml:space="preserve">ROFFIT Wr, FIELDS HW, SARVER Dm. </w:t>
      </w:r>
      <w:r>
        <w:rPr>
          <w:rFonts w:ascii="Gill Sans MT" w:cs="Gill Sans MT" w:hAnsi="Gill Sans MT" w:eastAsia="Gill Sans MT"/>
          <w:sz w:val="24"/>
          <w:szCs w:val="24"/>
          <w:rtl w:val="0"/>
          <w:lang w:val="en-US"/>
        </w:rPr>
        <w:t>Contemporary Orthodontic 2013:754.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Gill Sans MT" w:cs="Gill Sans MT" w:hAnsi="Gill Sans MT" w:eastAsia="Gill Sans MT"/>
          <w:sz w:val="24"/>
          <w:szCs w:val="24"/>
        </w:rPr>
      </w:pPr>
      <w:r>
        <w:rPr>
          <w:rFonts w:ascii="Gill Sans MT" w:cs="Gill Sans MT" w:hAnsi="Gill Sans MT" w:eastAsia="Gill Sans MT"/>
          <w:sz w:val="24"/>
          <w:szCs w:val="24"/>
          <w:rtl w:val="0"/>
          <w:lang w:val="pt-PT"/>
        </w:rPr>
        <w:t>4. TANAKA M. Orlando et al. O fechamento de diastemas intercisivos centrais superiores. Orthod. Sci. Pract, 2015; 8(29):97-102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Gill Sans MT" w:cs="Gill Sans MT" w:hAnsi="Gill Sans MT" w:eastAsia="Gill Sans MT"/>
          <w:sz w:val="24"/>
          <w:szCs w:val="24"/>
        </w:rPr>
      </w:pPr>
      <w:r>
        <w:rPr>
          <w:rFonts w:ascii="Gill Sans MT" w:cs="Gill Sans MT" w:hAnsi="Gill Sans MT" w:eastAsia="Gill Sans MT"/>
          <w:sz w:val="24"/>
          <w:szCs w:val="24"/>
          <w:rtl w:val="0"/>
          <w:lang w:val="pt-PT"/>
        </w:rPr>
        <w:t xml:space="preserve">5. </w:t>
      </w:r>
      <w:r>
        <w:rPr>
          <w:rFonts w:ascii="Gill Sans MT" w:cs="Gill Sans MT" w:hAnsi="Gill Sans MT" w:eastAsia="Gill Sans MT"/>
          <w:sz w:val="24"/>
          <w:szCs w:val="24"/>
          <w:rtl w:val="0"/>
          <w:lang w:val="en-US"/>
        </w:rPr>
        <w:t>GUZZO, Carlos M et al. Preventive and interceptive orthodontics in the primary health care network of the Brazilian Unified Health System: the viewpoint of the dental surgeons of Florianopolis City Hall. Revista Ci</w:t>
      </w:r>
      <w:r>
        <w:rPr>
          <w:rFonts w:ascii="Gill Sans MT" w:cs="Gill Sans MT" w:hAnsi="Gill Sans MT" w:eastAsia="Gill Sans MT"/>
          <w:sz w:val="24"/>
          <w:szCs w:val="24"/>
          <w:rtl w:val="0"/>
          <w:lang w:val="fr-FR"/>
        </w:rPr>
        <w:t>ê</w:t>
      </w:r>
      <w:r>
        <w:rPr>
          <w:rFonts w:ascii="Gill Sans MT" w:cs="Gill Sans MT" w:hAnsi="Gill Sans MT" w:eastAsia="Gill Sans MT"/>
          <w:sz w:val="24"/>
          <w:szCs w:val="24"/>
          <w:rtl w:val="0"/>
        </w:rPr>
        <w:t>nc</w:t>
      </w:r>
      <w:r>
        <w:rPr>
          <w:rFonts w:ascii="Gill Sans MT" w:cs="Gill Sans MT" w:hAnsi="Gill Sans MT" w:eastAsia="Gill Sans MT"/>
          <w:sz w:val="24"/>
          <w:szCs w:val="24"/>
          <w:rtl w:val="0"/>
          <w:lang w:val="pt-PT"/>
        </w:rPr>
        <w:t>ia</w:t>
      </w:r>
      <w:r>
        <w:rPr>
          <w:rFonts w:ascii="Gill Sans MT" w:cs="Gill Sans MT" w:hAnsi="Gill Sans MT" w:eastAsia="Gill Sans MT"/>
          <w:sz w:val="24"/>
          <w:szCs w:val="24"/>
          <w:rtl w:val="0"/>
        </w:rPr>
        <w:t xml:space="preserve"> sa</w:t>
      </w:r>
      <w:r>
        <w:rPr>
          <w:rFonts w:ascii="Gill Sans MT" w:cs="Gill Sans MT" w:hAnsi="Gill Sans MT" w:eastAsia="Gill Sans MT"/>
          <w:sz w:val="24"/>
          <w:szCs w:val="24"/>
          <w:rtl w:val="0"/>
        </w:rPr>
        <w:t>ú</w:t>
      </w:r>
      <w:r>
        <w:rPr>
          <w:rFonts w:ascii="Gill Sans MT" w:cs="Gill Sans MT" w:hAnsi="Gill Sans MT" w:eastAsia="Gill Sans MT"/>
          <w:sz w:val="24"/>
          <w:szCs w:val="24"/>
          <w:rtl w:val="0"/>
          <w:lang w:val="pt-PT"/>
        </w:rPr>
        <w:t>de coletiva 19 Fev</w:t>
      </w:r>
      <w:r>
        <w:rPr>
          <w:rFonts w:ascii="Gill Sans MT" w:cs="Gill Sans MT" w:hAnsi="Gill Sans MT" w:eastAsia="Gill Sans MT"/>
          <w:sz w:val="24"/>
          <w:szCs w:val="24"/>
          <w:rtl w:val="0"/>
          <w:lang w:val="pt-PT"/>
        </w:rPr>
        <w:t>,</w:t>
      </w:r>
      <w:r>
        <w:rPr>
          <w:rFonts w:ascii="Gill Sans MT" w:cs="Gill Sans MT" w:hAnsi="Gill Sans MT" w:eastAsia="Gill Sans MT"/>
          <w:sz w:val="24"/>
          <w:szCs w:val="24"/>
          <w:rtl w:val="0"/>
        </w:rPr>
        <w:t> </w:t>
      </w:r>
      <w:r>
        <w:rPr>
          <w:rFonts w:ascii="Gill Sans MT" w:cs="Gill Sans MT" w:hAnsi="Gill Sans MT" w:eastAsia="Gill Sans MT"/>
          <w:sz w:val="24"/>
          <w:szCs w:val="24"/>
          <w:rtl w:val="0"/>
        </w:rPr>
        <w:t>201</w:t>
      </w:r>
      <w:r>
        <w:rPr>
          <w:rFonts w:ascii="Gill Sans MT" w:cs="Gill Sans MT" w:hAnsi="Gill Sans MT" w:eastAsia="Gill Sans MT"/>
          <w:sz w:val="24"/>
          <w:szCs w:val="24"/>
          <w:rtl w:val="0"/>
          <w:lang w:val="pt-PT"/>
        </w:rPr>
        <w:t xml:space="preserve">4. 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Gill Sans MT" w:cs="Gill Sans MT" w:hAnsi="Gill Sans MT" w:eastAsia="Gill Sans MT"/>
          <w:sz w:val="24"/>
          <w:szCs w:val="24"/>
        </w:rPr>
      </w:pPr>
      <w:r>
        <w:rPr>
          <w:rFonts w:ascii="Gill Sans MT" w:cs="Gill Sans MT" w:hAnsi="Gill Sans MT" w:eastAsia="Gill Sans MT"/>
          <w:sz w:val="24"/>
          <w:szCs w:val="24"/>
          <w:rtl w:val="0"/>
          <w:lang w:val="pt-PT"/>
        </w:rPr>
        <w:t>6. OQUENDO, Anabella et al. Diastema: Correction of Excessive Spaces in the Esthetic Zone. Review Dental Clinics Of North America. Vol. 55, Issue 2, Pages 265-281. April, 2011.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>
        <w:rPr>
          <w:rFonts w:ascii="Gill Sans MT" w:cs="Gill Sans MT" w:hAnsi="Gill Sans MT" w:eastAsia="Gill Sans MT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 A">
    <w:name w:val="Padrão A"/>
    <w:next w:val="Padrã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