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45D" w:rsidRPr="005B045D" w:rsidRDefault="005B045D" w:rsidP="005B045D">
      <w:pPr>
        <w:rPr>
          <w:rFonts w:eastAsia="Times New Roman"/>
          <w:b/>
          <w:bCs/>
          <w:caps/>
          <w:kern w:val="28"/>
          <w:sz w:val="28"/>
          <w:szCs w:val="32"/>
        </w:rPr>
      </w:pPr>
      <w:bookmarkStart w:id="0" w:name="_Toc3626291"/>
    </w:p>
    <w:p w:rsidR="00686B79" w:rsidRPr="00696317" w:rsidRDefault="005B045D" w:rsidP="00215434">
      <w:pPr>
        <w:spacing w:line="276" w:lineRule="auto"/>
        <w:jc w:val="center"/>
      </w:pPr>
      <w:r w:rsidRPr="005B045D">
        <w:rPr>
          <w:rFonts w:eastAsia="Times New Roman"/>
          <w:b/>
          <w:bCs/>
          <w:caps/>
          <w:kern w:val="28"/>
          <w:sz w:val="28"/>
          <w:szCs w:val="32"/>
        </w:rPr>
        <w:t>PLANO DE NEGÓCIOS: IMPLEMENTAÇÃO DE UMA PLATAFORMA PARA OFERTA E CONTRATAÇÃO DE SERVIÇOS NA ÁREA DE ESPORTE E SAÚDE (TEAM FIT)</w:t>
      </w:r>
    </w:p>
    <w:p w:rsidR="00686B79" w:rsidRPr="007C401F" w:rsidRDefault="00686B79" w:rsidP="00686B79">
      <w:pPr>
        <w:pStyle w:val="FPCNomedoAutor"/>
        <w:spacing w:before="0" w:after="0"/>
        <w:jc w:val="left"/>
        <w:rPr>
          <w:rFonts w:ascii="Times New Roman" w:hAnsi="Times New Roman"/>
          <w:spacing w:val="-2"/>
          <w:sz w:val="22"/>
          <w:lang w:val="pt-PT"/>
        </w:rPr>
      </w:pPr>
    </w:p>
    <w:p w:rsidR="00686B79" w:rsidRDefault="00686B79" w:rsidP="00686B79">
      <w:pPr>
        <w:rPr>
          <w:rStyle w:val="Forte"/>
        </w:rPr>
      </w:pPr>
      <w:r w:rsidRPr="007669DE">
        <w:rPr>
          <w:rStyle w:val="Forte"/>
        </w:rPr>
        <w:t xml:space="preserve">Resumo </w:t>
      </w:r>
    </w:p>
    <w:p w:rsidR="00A75532" w:rsidRDefault="00A75532" w:rsidP="00A75532">
      <w:pPr>
        <w:rPr>
          <w:rFonts w:cs="Arial"/>
        </w:rPr>
      </w:pPr>
      <w:r>
        <w:rPr>
          <w:rFonts w:cs="Arial"/>
        </w:rPr>
        <w:t>A iniciativa para a elaboração do presente trabalho surgiu através de um brainstorming em que os autores deste trabalho enxergaram uma demanda em potencial para este tipo de empreendimento, em especial nas cidades escolhidas.</w:t>
      </w:r>
      <w:r w:rsidR="00BA4937">
        <w:rPr>
          <w:rFonts w:cs="Arial"/>
        </w:rPr>
        <w:t xml:space="preserve"> </w:t>
      </w:r>
      <w:r>
        <w:rPr>
          <w:rFonts w:cs="Arial"/>
        </w:rPr>
        <w:t>O plano de negócios, que é o objeto de estudo do busca elaborar um modelo de negócios em que será utilizado uma plataforma mobile para oferta de serviços na área de esporte e saúde.</w:t>
      </w:r>
      <w:r w:rsidR="00D53308">
        <w:rPr>
          <w:rFonts w:cs="Arial"/>
        </w:rPr>
        <w:t xml:space="preserve"> </w:t>
      </w:r>
      <w:r>
        <w:rPr>
          <w:rFonts w:cs="Arial"/>
        </w:rPr>
        <w:t xml:space="preserve">A utilização de aplicativos mobile para a oferta de serviços, venda online de produtos e troca de mercadoria já é uma realidade. Com o advento da informação amplamente compartilhada, muitas empresas lançaram mão desse tipo de recurso para empreender, criando um novo modelo de negócios. </w:t>
      </w:r>
    </w:p>
    <w:p w:rsidR="00A75532" w:rsidRDefault="00A75532" w:rsidP="00686B79">
      <w:pPr>
        <w:rPr>
          <w:rStyle w:val="Forte"/>
        </w:rPr>
      </w:pPr>
    </w:p>
    <w:p w:rsidR="00686B79" w:rsidRPr="00277A49" w:rsidRDefault="00686B79" w:rsidP="00686B79">
      <w:pPr>
        <w:rPr>
          <w:lang w:val="pt-PT" w:eastAsia="ja-JP"/>
        </w:rPr>
      </w:pPr>
      <w:r w:rsidRPr="00277A49">
        <w:rPr>
          <w:b/>
          <w:lang w:val="pt-PT" w:eastAsia="ja-JP"/>
        </w:rPr>
        <w:t>Palavras-chave:</w:t>
      </w:r>
      <w:r w:rsidR="00654AE1">
        <w:rPr>
          <w:b/>
          <w:lang w:val="pt-PT" w:eastAsia="ja-JP"/>
        </w:rPr>
        <w:t xml:space="preserve"> </w:t>
      </w:r>
      <w:r w:rsidR="00D70D8D" w:rsidRPr="0043247B">
        <w:rPr>
          <w:lang w:val="pt-PT" w:eastAsia="ja-JP"/>
        </w:rPr>
        <w:t>Esporte; saúde; Tecnologia; aplicativo; empreendedorismo; startup</w:t>
      </w:r>
      <w:r w:rsidR="00D70D8D">
        <w:rPr>
          <w:b/>
          <w:lang w:val="pt-PT" w:eastAsia="ja-JP"/>
        </w:rPr>
        <w:t>.</w:t>
      </w:r>
    </w:p>
    <w:p w:rsidR="00686B79" w:rsidRPr="00277A49" w:rsidRDefault="00686B79" w:rsidP="00686B79">
      <w:pPr>
        <w:pStyle w:val="FPCTextonormal"/>
        <w:spacing w:before="0" w:after="0"/>
        <w:rPr>
          <w:rFonts w:ascii="Times New Roman" w:hAnsi="Times New Roman"/>
          <w:sz w:val="20"/>
          <w:szCs w:val="20"/>
          <w:lang w:val="pt-PT" w:eastAsia="ja-JP"/>
        </w:rPr>
      </w:pPr>
    </w:p>
    <w:p w:rsidR="00686B79" w:rsidRPr="00277A49" w:rsidRDefault="00686B79" w:rsidP="00686B79">
      <w:pPr>
        <w:pStyle w:val="FPCTextonormal"/>
        <w:spacing w:before="0" w:after="0"/>
        <w:rPr>
          <w:rFonts w:ascii="Times New Roman" w:hAnsi="Times New Roman"/>
          <w:sz w:val="20"/>
          <w:szCs w:val="20"/>
          <w:lang w:val="pt-PT" w:eastAsia="ja-JP"/>
        </w:rPr>
      </w:pPr>
    </w:p>
    <w:p w:rsidR="00686B79" w:rsidRDefault="00686B79" w:rsidP="00686B79">
      <w:pPr>
        <w:rPr>
          <w:b/>
        </w:rPr>
      </w:pPr>
      <w:bookmarkStart w:id="1" w:name="_Toc519335634"/>
      <w:bookmarkEnd w:id="0"/>
      <w:r w:rsidRPr="007669DE">
        <w:rPr>
          <w:b/>
        </w:rPr>
        <w:t>ABSTRACT</w:t>
      </w:r>
      <w:r>
        <w:rPr>
          <w:b/>
        </w:rPr>
        <w:t xml:space="preserve"> </w:t>
      </w:r>
    </w:p>
    <w:p w:rsidR="00D70D8D" w:rsidRDefault="00D70D8D" w:rsidP="00D70D8D">
      <w:pPr>
        <w:rPr>
          <w:rFonts w:cs="Arial"/>
        </w:rPr>
      </w:pPr>
      <w:r>
        <w:rPr>
          <w:rFonts w:cs="Arial"/>
        </w:rPr>
        <w:t>The initiative for the elaboration of the present work came out of a brainstorming which the autors of it saw a potential</w:t>
      </w:r>
      <w:r w:rsidR="00057E74">
        <w:rPr>
          <w:rFonts w:cs="Arial"/>
        </w:rPr>
        <w:t xml:space="preserve"> demand to </w:t>
      </w:r>
      <w:proofErr w:type="spellStart"/>
      <w:r w:rsidR="00057E74">
        <w:rPr>
          <w:rFonts w:cs="Arial"/>
        </w:rPr>
        <w:t>this</w:t>
      </w:r>
      <w:proofErr w:type="spellEnd"/>
      <w:r w:rsidR="00057E74">
        <w:rPr>
          <w:rFonts w:cs="Arial"/>
        </w:rPr>
        <w:t xml:space="preserve"> </w:t>
      </w:r>
      <w:proofErr w:type="spellStart"/>
      <w:r w:rsidR="00057E74">
        <w:rPr>
          <w:rFonts w:cs="Arial"/>
        </w:rPr>
        <w:t>kind</w:t>
      </w:r>
      <w:proofErr w:type="spellEnd"/>
      <w:r w:rsidR="00057E74">
        <w:rPr>
          <w:rFonts w:cs="Arial"/>
        </w:rPr>
        <w:t xml:space="preserve"> </w:t>
      </w:r>
      <w:proofErr w:type="spellStart"/>
      <w:r w:rsidR="00057E74">
        <w:rPr>
          <w:rFonts w:cs="Arial"/>
        </w:rPr>
        <w:t>of</w:t>
      </w:r>
      <w:proofErr w:type="spellEnd"/>
      <w:r w:rsidR="00057E74">
        <w:rPr>
          <w:rFonts w:cs="Arial"/>
        </w:rPr>
        <w:t xml:space="preserve"> </w:t>
      </w:r>
      <w:proofErr w:type="spellStart"/>
      <w:r w:rsidR="00057E74">
        <w:t>e</w:t>
      </w:r>
      <w:r w:rsidR="00057E74" w:rsidRPr="00D70D8D">
        <w:t>ntrepreneurship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especially</w:t>
      </w:r>
      <w:proofErr w:type="spellEnd"/>
      <w:r>
        <w:rPr>
          <w:rFonts w:cs="Arial"/>
        </w:rPr>
        <w:t xml:space="preserve"> in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chosen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cities</w:t>
      </w:r>
      <w:proofErr w:type="spellEnd"/>
      <w:r>
        <w:rPr>
          <w:rFonts w:cs="Arial"/>
        </w:rPr>
        <w:t>.</w:t>
      </w:r>
      <w:r w:rsidR="00BA4937">
        <w:rPr>
          <w:rFonts w:cs="Arial"/>
        </w:rPr>
        <w:t xml:space="preserve"> </w:t>
      </w:r>
      <w:proofErr w:type="spellStart"/>
      <w:r>
        <w:rPr>
          <w:rFonts w:cs="Arial"/>
        </w:rPr>
        <w:t>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business </w:t>
      </w:r>
      <w:proofErr w:type="spellStart"/>
      <w:r>
        <w:rPr>
          <w:rFonts w:cs="Arial"/>
        </w:rPr>
        <w:t>plan</w:t>
      </w:r>
      <w:proofErr w:type="spellEnd"/>
      <w:r>
        <w:rPr>
          <w:rFonts w:cs="Arial"/>
        </w:rPr>
        <w:t xml:space="preserve">, our object of studying, we seek to build a model of business management that will be used in a mobile plataforma </w:t>
      </w:r>
      <w:proofErr w:type="spellStart"/>
      <w:r>
        <w:rPr>
          <w:rFonts w:cs="Arial"/>
        </w:rPr>
        <w:t>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offer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several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services</w:t>
      </w:r>
      <w:proofErr w:type="spellEnd"/>
      <w:r>
        <w:rPr>
          <w:rFonts w:cs="Arial"/>
        </w:rPr>
        <w:t xml:space="preserve"> in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sport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health</w:t>
      </w:r>
      <w:proofErr w:type="spellEnd"/>
      <w:r>
        <w:rPr>
          <w:rFonts w:cs="Arial"/>
        </w:rPr>
        <w:t xml:space="preserve"> área.</w:t>
      </w:r>
      <w:r w:rsidR="00BA4937">
        <w:rPr>
          <w:rFonts w:cs="Arial"/>
        </w:rPr>
        <w:t xml:space="preserve"> </w:t>
      </w:r>
      <w:proofErr w:type="spellStart"/>
      <w:r>
        <w:rPr>
          <w:rFonts w:cs="Arial"/>
        </w:rPr>
        <w:t>Using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apps</w:t>
      </w:r>
      <w:proofErr w:type="spellEnd"/>
      <w:r>
        <w:rPr>
          <w:rFonts w:cs="Arial"/>
        </w:rPr>
        <w:t xml:space="preserve"> as </w:t>
      </w:r>
      <w:proofErr w:type="spellStart"/>
      <w:r>
        <w:rPr>
          <w:rFonts w:cs="Arial"/>
        </w:rPr>
        <w:t>an</w:t>
      </w:r>
      <w:proofErr w:type="spellEnd"/>
      <w:r>
        <w:rPr>
          <w:rFonts w:cs="Arial"/>
        </w:rPr>
        <w:t xml:space="preserve"> offer of services is already a trend. With the advent of information shared widely, a lot of huge companies stoped with this</w:t>
      </w:r>
      <w:r w:rsidR="00057E74">
        <w:rPr>
          <w:rFonts w:cs="Arial"/>
        </w:rPr>
        <w:t xml:space="preserve"> type of resource to the </w:t>
      </w:r>
      <w:r w:rsidR="00057E74">
        <w:t>e</w:t>
      </w:r>
      <w:r w:rsidR="00057E74" w:rsidRPr="00D70D8D">
        <w:t>ntrepreneurship</w:t>
      </w:r>
      <w:r>
        <w:rPr>
          <w:rFonts w:cs="Arial"/>
        </w:rPr>
        <w:t>, building a new model of business.</w:t>
      </w:r>
    </w:p>
    <w:p w:rsidR="00686B79" w:rsidRPr="00686B79" w:rsidRDefault="00686B79" w:rsidP="00686B79"/>
    <w:p w:rsidR="00686B79" w:rsidRPr="007669DE" w:rsidRDefault="003C5D97" w:rsidP="00686B79">
      <w:pPr>
        <w:jc w:val="left"/>
        <w:rPr>
          <w:b/>
          <w:sz w:val="24"/>
          <w:szCs w:val="24"/>
        </w:rPr>
      </w:pPr>
      <w:r>
        <w:rPr>
          <w:b/>
        </w:rPr>
        <w:t>Key</w:t>
      </w:r>
      <w:r w:rsidRPr="007669DE">
        <w:rPr>
          <w:b/>
        </w:rPr>
        <w:t>words</w:t>
      </w:r>
      <w:r>
        <w:rPr>
          <w:b/>
        </w:rPr>
        <w:t>:</w:t>
      </w:r>
      <w:r w:rsidR="00D70D8D">
        <w:t xml:space="preserve"> Sports; Health; Technology; App; E</w:t>
      </w:r>
      <w:r w:rsidR="00D70D8D" w:rsidRPr="00D70D8D">
        <w:t>ntrepreneurship</w:t>
      </w:r>
      <w:r w:rsidR="00D70D8D">
        <w:t xml:space="preserve"> </w:t>
      </w:r>
      <w:r w:rsidR="00686B79" w:rsidRPr="007669DE">
        <w:t xml:space="preserve"> </w:t>
      </w:r>
    </w:p>
    <w:p w:rsidR="00686B79" w:rsidRPr="007669DE" w:rsidRDefault="00686B79" w:rsidP="00686B79">
      <w:pPr>
        <w:rPr>
          <w:b/>
          <w:sz w:val="24"/>
          <w:szCs w:val="24"/>
        </w:rPr>
      </w:pPr>
    </w:p>
    <w:p w:rsidR="00686B79" w:rsidRDefault="00686B79" w:rsidP="00686B79">
      <w:pPr>
        <w:rPr>
          <w:b/>
          <w:sz w:val="24"/>
          <w:szCs w:val="24"/>
        </w:rPr>
      </w:pPr>
    </w:p>
    <w:p w:rsidR="00686B79" w:rsidRPr="007669DE" w:rsidRDefault="00686B79" w:rsidP="00686B79">
      <w:pPr>
        <w:rPr>
          <w:b/>
          <w:sz w:val="24"/>
          <w:szCs w:val="24"/>
        </w:rPr>
      </w:pPr>
    </w:p>
    <w:p w:rsidR="00686B79" w:rsidRPr="00F345FD" w:rsidRDefault="00686B79" w:rsidP="0043247B">
      <w:pPr>
        <w:numPr>
          <w:ilvl w:val="0"/>
          <w:numId w:val="1"/>
        </w:numPr>
        <w:jc w:val="left"/>
        <w:rPr>
          <w:b/>
          <w:sz w:val="24"/>
          <w:szCs w:val="24"/>
        </w:rPr>
      </w:pPr>
      <w:r w:rsidRPr="007669DE">
        <w:rPr>
          <w:rStyle w:val="SeoChar"/>
        </w:rPr>
        <w:t>INTRODUÇÃO</w:t>
      </w:r>
    </w:p>
    <w:p w:rsidR="00686B79" w:rsidRPr="00F345FD" w:rsidRDefault="00686B79" w:rsidP="00686B79">
      <w:pPr>
        <w:rPr>
          <w:b/>
          <w:sz w:val="24"/>
          <w:szCs w:val="24"/>
        </w:rPr>
      </w:pPr>
    </w:p>
    <w:p w:rsidR="005B045D" w:rsidRDefault="005B045D" w:rsidP="00240637">
      <w:pPr>
        <w:pStyle w:val="SemEspaamento"/>
      </w:pPr>
      <w:r>
        <w:t xml:space="preserve">  O presente artigo tem como objetivo aplicar os conceitos de gestão de projetos na elaboração de uma plataforma digital para a oferta de serviços na área de esporte e saúde. Tal plataforma visará conectar os usuários em potencial com profissionais</w:t>
      </w:r>
      <w:r w:rsidR="007553F3">
        <w:t xml:space="preserve"> parceiros</w:t>
      </w:r>
      <w:r>
        <w:t>.</w:t>
      </w:r>
      <w:r w:rsidR="003967FC">
        <w:t xml:space="preserve"> </w:t>
      </w:r>
      <w:r>
        <w:t xml:space="preserve">O objetivo primário é o de difundir a plataforma no nicho de mercado escolhido, gerir o controle de capital de modo a atrair possível profissionais do mercado que possam os serviços a serem oferecidos. </w:t>
      </w:r>
    </w:p>
    <w:p w:rsidR="005B045D" w:rsidRDefault="005B045D" w:rsidP="00240637">
      <w:pPr>
        <w:pStyle w:val="SemEspaamento"/>
      </w:pPr>
      <w:r>
        <w:t>Atualmente surgiram no mercado diversos aplicativos de prestação de serviços, como aqueles ligados aqueles voltados para a oferta de alimentos, transporte urbano e vendas. Deste modo, buscou-se explorar está nova demanda dentro da área escolhida.</w:t>
      </w:r>
      <w:r w:rsidR="003967FC">
        <w:t xml:space="preserve"> </w:t>
      </w:r>
      <w:r>
        <w:t>A visão empresarial deste modelo de negócios se sustenta na ideia de que os usuários em potencial encontrem os melhores profissionais do mercado esportivo e possam usufruir de um serviço de qualidade oferecido com respeito e segurança.</w:t>
      </w:r>
    </w:p>
    <w:p w:rsidR="00E218E7" w:rsidRDefault="005B045D" w:rsidP="00240637">
      <w:pPr>
        <w:pStyle w:val="SemEspaamento"/>
      </w:pPr>
      <w:r>
        <w:t>Para isso serão desenvolvidas as principais estratégias para a captação de recurso humano.</w:t>
      </w:r>
      <w:r w:rsidR="003967FC">
        <w:t xml:space="preserve"> </w:t>
      </w:r>
      <w:r>
        <w:t xml:space="preserve">Por fim, além da busca de uma colocação no mercado, será possível </w:t>
      </w:r>
      <w:r>
        <w:lastRenderedPageBreak/>
        <w:t>afirmar no decorrer deste trabalho de que modo as plataformas mobile impactam na tomada de decisão dos usuários em geral e com isso traçar estratégias competitivas para ter êxito.</w:t>
      </w:r>
    </w:p>
    <w:p w:rsidR="005B045D" w:rsidRDefault="005B045D" w:rsidP="005B045D">
      <w:pPr>
        <w:pStyle w:val="SemEspaamento"/>
        <w:ind w:firstLine="0"/>
      </w:pPr>
    </w:p>
    <w:p w:rsidR="005B045D" w:rsidRDefault="00D96A68" w:rsidP="005B045D">
      <w:pPr>
        <w:ind w:firstLine="709"/>
        <w:rPr>
          <w:rFonts w:asciiTheme="minorHAnsi" w:eastAsiaTheme="minorHAnsi" w:hAnsiTheme="minorHAnsi"/>
        </w:rPr>
      </w:pPr>
      <w:r>
        <w:rPr>
          <w:rFonts w:cs="Arial"/>
          <w:b/>
          <w:sz w:val="24"/>
          <w:szCs w:val="24"/>
        </w:rPr>
        <w:t>2.1</w:t>
      </w:r>
      <w:r w:rsidR="005B045D">
        <w:rPr>
          <w:rFonts w:cs="Arial"/>
          <w:b/>
          <w:sz w:val="24"/>
          <w:szCs w:val="24"/>
        </w:rPr>
        <w:t xml:space="preserve"> FUNDAMENTAÇÃO TEÓRICA</w:t>
      </w:r>
    </w:p>
    <w:p w:rsidR="005B045D" w:rsidRDefault="00D96A68" w:rsidP="00D96A68">
      <w:pPr>
        <w:spacing w:line="360" w:lineRule="auto"/>
        <w:ind w:firstLine="709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2.1</w:t>
      </w:r>
      <w:r w:rsidR="005B045D">
        <w:rPr>
          <w:rFonts w:cs="Arial"/>
          <w:b/>
          <w:sz w:val="24"/>
          <w:szCs w:val="24"/>
        </w:rPr>
        <w:t xml:space="preserve"> Cenário do mercado de esportes - Surgimento de demandas</w:t>
      </w:r>
    </w:p>
    <w:p w:rsidR="005B045D" w:rsidRDefault="005B045D" w:rsidP="00240637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Há tempos em que o esporte vem se tornando um campo fértil para as organizações empresariais, que veem a possibilidade de utilizar tal prática como estratégia de marketing para seus produtos e serviços. Isso ocorre porque o esporte em linhas atuais adquiriu um novo significado para além do mero lucro, se tornando sinônimo de saúde, bem-estar, e de dimensões sociais.</w:t>
      </w:r>
    </w:p>
    <w:p w:rsidR="005B045D" w:rsidRDefault="005B045D" w:rsidP="00240637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Alguns recortes possíveis são os grandes movimentos históricos do século XX, que fizeram do esporte um fenômeno socioeconômico de massa; a lógica mercantilista atrás dos grandes eventos, atraindo ao consumo bilhões de pessoas ávidas por lazer e entretenimento; e a globalização do setor (CABRAL e ABAD,2013)</w:t>
      </w:r>
    </w:p>
    <w:p w:rsidR="005B045D" w:rsidRDefault="005B045D" w:rsidP="00240637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Autores de</w:t>
      </w:r>
      <w:r>
        <w:rPr>
          <w:rFonts w:cs="Arial"/>
          <w:i/>
          <w:sz w:val="24"/>
          <w:szCs w:val="24"/>
        </w:rPr>
        <w:t xml:space="preserve"> Economia do Esporte</w:t>
      </w:r>
      <w:r>
        <w:rPr>
          <w:rFonts w:cs="Arial"/>
          <w:sz w:val="24"/>
          <w:szCs w:val="24"/>
        </w:rPr>
        <w:t xml:space="preserve">, Jean-François Bourg e Jean-Jacques dizem que o esporte começou a conquistar dimensão global ainda no século XIX, com os torneios internacionais de tênis Wimbledon (Londres, Reino Unido) e o US Open (Aberto dos Estados Unidos), que tiveram início em 1877 e 1881, respectivamente, e os Jogos Olímpicos modernos, em 1896. </w:t>
      </w:r>
    </w:p>
    <w:p w:rsidR="005B045D" w:rsidRDefault="005B045D" w:rsidP="00240637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Ao final da década de 60, nos EUA, houve o desenvolvimento dos meios de comunicação juntamente com o aumento da demanda por produtos esportivos, responsáveis pela definição da   gestão de franquias do esporte profissional naquele país. Com isso, deu-se início ao crescimento vertiginoso na demanda de bens e serviços relacionados ao esporte, que acompanhou a crescente publicidade dos programas televisivos com as transmissões de jogos de futebol americano e beisebol.</w:t>
      </w:r>
    </w:p>
    <w:p w:rsidR="005B045D" w:rsidRDefault="005B045D" w:rsidP="00240637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É a partir da metade da década de 1970 que se estabelece uma mudança de grandes proporções, na qual a lógica do amadorismo, ou “espírito esportivo”, transforma-se em uma gigantesca máquina de fazer dinheiro, tanto para os atletas profissionais como para os patrocinadores, a publicidade, a mídia e um complexo de outras empresas produtoras de bens de consumo relacionados ao exercício físico ou ao corpo (CABRAL e ABAD,2013)</w:t>
      </w:r>
    </w:p>
    <w:p w:rsidR="005B045D" w:rsidRDefault="005B045D" w:rsidP="00240637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Em 1988, a indústria do esporte era a 22ª maior indústria nos Estados Unidos, movimentando cerca de U$ 63,2 milhões (PITTS &amp; STOTLAR, 2002). Em 1995, esta já era a 11ª indústria no mercado americano, movimentando cerca de U$ 152 milhões (MEEK, 1997). Em 1999, o esporte já movimentava U$ 213 milhões apenas no mercado americano (PITTS &amp; STOTLAR, 2002).</w:t>
      </w:r>
    </w:p>
    <w:p w:rsidR="005B045D" w:rsidRDefault="005B045D" w:rsidP="00240637">
      <w:pPr>
        <w:adjustRightInd w:val="0"/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 ponto de vista gerencial e mercadológico, Chelladurai (2009) afirma que gestores esportivos deveriam conhecer o processo produtivo e estar preparados para atuar em organizações esportivas, mas não necessariamente em organizações que usam o esporte para promover seus produtos. Assim, a gestão do esporte se preocuparia exclusivamente com a coordenação de serviços esportivos.</w:t>
      </w:r>
    </w:p>
    <w:p w:rsidR="005B045D" w:rsidRDefault="005B045D" w:rsidP="005B045D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5B045D" w:rsidRDefault="00D96A68" w:rsidP="005B045D">
      <w:pPr>
        <w:spacing w:line="360" w:lineRule="auto"/>
        <w:ind w:firstLine="709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2.2</w:t>
      </w:r>
      <w:r w:rsidR="005B045D">
        <w:rPr>
          <w:rFonts w:cs="Arial"/>
          <w:b/>
          <w:sz w:val="24"/>
          <w:szCs w:val="24"/>
        </w:rPr>
        <w:t xml:space="preserve"> Cenário do mercado de esportes no Brasil</w:t>
      </w:r>
    </w:p>
    <w:p w:rsidR="005B045D" w:rsidRDefault="005B045D" w:rsidP="00240637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Como dito no capítulo anterior, a pratica esportiva tomou novas dimensões na sociedade. No Brasil isso não foi diferente. O termo “academia”, que compreende um local para a prática e aperfeiçoamento de atividades físicas é algo relativamente novo no país.  Afirma Capinussú (2006) que foi a partir de 1940 que o modelo de academias de ginástica existente atualmente, com base na ginástica, lutas e halterofilismo ou culturismo se delineou.</w:t>
      </w:r>
      <w:r w:rsidR="003967F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Bertevello (2006) observa com razão que a partir de 1950 as academias começam a se expandir para outras capitais e para cidades de médio porte no interior do país: “Os vetores deste crescimento são o halterofilismo e as artes marciais japonesas”.</w:t>
      </w:r>
    </w:p>
    <w:p w:rsidR="005B045D" w:rsidRDefault="005B045D" w:rsidP="00240637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 o crescente aumento do número de estabelecimentos dessa natureza, em especial nas capitais, o público frequentador de academias foi aumentando, mas ainda era cen</w:t>
      </w:r>
      <w:r>
        <w:rPr>
          <w:rFonts w:cs="Arial"/>
          <w:sz w:val="24"/>
          <w:szCs w:val="24"/>
        </w:rPr>
        <w:softHyphen/>
        <w:t>trado essencialmente no halterofilismo e fisiculturismo e, em alguns casos, apresen</w:t>
      </w:r>
      <w:r>
        <w:rPr>
          <w:rFonts w:cs="Arial"/>
          <w:sz w:val="24"/>
          <w:szCs w:val="24"/>
        </w:rPr>
        <w:softHyphen/>
        <w:t xml:space="preserve">tando algumas modalidades de ginástica, como a </w:t>
      </w:r>
      <w:proofErr w:type="spellStart"/>
      <w:r>
        <w:rPr>
          <w:rFonts w:cs="Arial"/>
          <w:sz w:val="24"/>
          <w:szCs w:val="24"/>
        </w:rPr>
        <w:t>calistênica</w:t>
      </w:r>
      <w:proofErr w:type="spellEnd"/>
      <w:r>
        <w:rPr>
          <w:rFonts w:cs="Arial"/>
          <w:sz w:val="24"/>
          <w:szCs w:val="24"/>
        </w:rPr>
        <w:t xml:space="preserve"> e a presença de lutas como judô, caratê e boxe em menor proporção, porque em geral as academias de lutas eram especializadas. O predominante nessa época eram as especializações com as academias de halterofilismo, as de ginástica, as de lutas, as de natação, embora a presença de mais de uma modalidade na mesma academia já começasse a aparecer (FURTADO, 2009)</w:t>
      </w:r>
    </w:p>
    <w:p w:rsidR="005B045D" w:rsidRDefault="005B045D" w:rsidP="00240637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Proporcional a esse crescente, o desenvolvimento das academias como um modelo de negócios a ser explorado foi aumentando e se estabelecendo como um negócio lucrativo. Furtado (2009) afirma que organização da gerência interna, da supervisão e do controle passou a ser in</w:t>
      </w:r>
      <w:r>
        <w:rPr>
          <w:rFonts w:cs="Arial"/>
          <w:sz w:val="24"/>
          <w:szCs w:val="24"/>
        </w:rPr>
        <w:softHyphen/>
        <w:t>corporada com mais ênfase ao espaço da academia, assim como a divisão do trabalho entre professores de musculação e professores de outras modalidades de ginástica.</w:t>
      </w:r>
    </w:p>
    <w:p w:rsidR="005B045D" w:rsidRDefault="005B045D" w:rsidP="00240637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Recentemente houve a introdução do conceito fitness, que segundo </w:t>
      </w:r>
      <w:proofErr w:type="spellStart"/>
      <w:r>
        <w:rPr>
          <w:rFonts w:cs="Arial"/>
          <w:sz w:val="24"/>
          <w:szCs w:val="24"/>
        </w:rPr>
        <w:t>Saba</w:t>
      </w:r>
      <w:proofErr w:type="spellEnd"/>
      <w:r>
        <w:rPr>
          <w:rFonts w:cs="Arial"/>
          <w:sz w:val="24"/>
          <w:szCs w:val="24"/>
        </w:rPr>
        <w:t xml:space="preserve"> (2006) enfatiza a dimensão biológica, caracterizando-se pela preocupação com o condicionamento físico do indivíduo. Por isso é bastante comum encontrar uma academia que ofereça não só as atividades até então oferecidas, mas também acompanhamento com profissional nutricionista, tratamentos estéticos e entre outros que possam abranger a dimensão do que é próprio do fitness.</w:t>
      </w:r>
    </w:p>
    <w:p w:rsidR="005B045D" w:rsidRDefault="00654AE1" w:rsidP="00240637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5B045D">
        <w:rPr>
          <w:rFonts w:cs="Arial"/>
          <w:sz w:val="24"/>
          <w:szCs w:val="24"/>
        </w:rPr>
        <w:t xml:space="preserve">sso denota que o brasileiro vem década a década consumindo produtos e serviços do ramo esportivo, seja o dispêndio com clubes ou academias ou ainda com materiais esportivos, ingressos para jogos e eventos esportivos. Trata-se de um vasto mercado que pode ser explorado através do emprego de um novo modelo de negócios que será abordado nos próximos deste trabalho. </w:t>
      </w:r>
    </w:p>
    <w:p w:rsidR="005B045D" w:rsidRDefault="005B045D" w:rsidP="005B045D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5B045D" w:rsidRDefault="003967FC" w:rsidP="005B045D">
      <w:pPr>
        <w:spacing w:line="360" w:lineRule="auto"/>
        <w:ind w:firstLine="709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3. METODOLOGIA</w:t>
      </w:r>
    </w:p>
    <w:p w:rsidR="005B045D" w:rsidRDefault="00654AE1" w:rsidP="00240637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</w:t>
      </w:r>
      <w:r w:rsidR="005B045D">
        <w:rPr>
          <w:rFonts w:cs="Arial"/>
          <w:sz w:val="24"/>
          <w:szCs w:val="24"/>
        </w:rPr>
        <w:t>A metodologia utilizada na elaboração do presente trabalho foi majoritariamente baseada em pesquisas bibliográficas cujos os autores discorreram sobre os temas abordados. A abordagem utilizada foi de caráter quantitativo de natureza exploratória.</w:t>
      </w:r>
    </w:p>
    <w:p w:rsidR="005B045D" w:rsidRDefault="005B045D" w:rsidP="00240637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Por caráter quantitativo entende-se que com este trabalho buscou-se relacionar as causas e efeitos dos fenômenos abordados neste trabalho e entende-los isoladamente. Para Fonseca (2002), a pesquisa quantitativa recorre à linguagem matemática para descrever as causas de um fenômeno, as relações entre variáveis, etc. A utilização conjunta da pesquisa qualitativa e quantitativa permite recolher mais informações do que se poderia conseguir isoladamente.</w:t>
      </w:r>
    </w:p>
    <w:p w:rsidR="005B045D" w:rsidRDefault="005B045D" w:rsidP="00240637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Os participantes desta análise são todos os profissionais formados ou que estão em formação na área de Educação Física.</w:t>
      </w:r>
      <w:r w:rsidR="003967F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 amostragem total foi de 50 participantes que responderam a 8 perguntas fechadas em um formulário digital (</w:t>
      </w:r>
      <w:proofErr w:type="spellStart"/>
      <w:r>
        <w:rPr>
          <w:rFonts w:cs="Arial"/>
          <w:sz w:val="24"/>
          <w:szCs w:val="24"/>
        </w:rPr>
        <w:t>google</w:t>
      </w:r>
      <w:proofErr w:type="spellEnd"/>
      <w:r>
        <w:rPr>
          <w:rFonts w:cs="Arial"/>
          <w:sz w:val="24"/>
          <w:szCs w:val="24"/>
        </w:rPr>
        <w:t xml:space="preserve"> formulário)</w:t>
      </w:r>
    </w:p>
    <w:p w:rsidR="005B045D" w:rsidRDefault="005B045D" w:rsidP="005B045D">
      <w:pPr>
        <w:pStyle w:val="SemEspaamento"/>
        <w:spacing w:line="360" w:lineRule="auto"/>
        <w:rPr>
          <w:rFonts w:cs="Arial"/>
          <w:color w:val="212529"/>
          <w:szCs w:val="24"/>
        </w:rPr>
      </w:pPr>
    </w:p>
    <w:p w:rsidR="005B045D" w:rsidRDefault="0043247B" w:rsidP="005B045D">
      <w:pPr>
        <w:ind w:firstLine="709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4. </w:t>
      </w:r>
      <w:r w:rsidR="005B045D">
        <w:rPr>
          <w:rFonts w:cs="Arial"/>
          <w:b/>
          <w:sz w:val="24"/>
          <w:szCs w:val="24"/>
        </w:rPr>
        <w:t>Resultados e discussão (plano de negócios)</w:t>
      </w:r>
    </w:p>
    <w:p w:rsidR="003967FC" w:rsidRDefault="003967FC" w:rsidP="005B045D">
      <w:pPr>
        <w:ind w:firstLine="709"/>
        <w:rPr>
          <w:rFonts w:cs="Arial"/>
          <w:b/>
          <w:sz w:val="24"/>
          <w:szCs w:val="24"/>
        </w:rPr>
      </w:pPr>
    </w:p>
    <w:p w:rsidR="005B045D" w:rsidRDefault="005B045D" w:rsidP="00240637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 plano de negócios, que é o objeto de estudo do presente trabalho trata-se da elaboração de um modelo de negócios em que será utilizado uma plataforma mobile para oferta de serviços na área de esporte e saúde. Nesta base de dados será possível ao usuário encontrar um profissional para a prática esportiva ou para serviços específicos nesta área de atuação de acordo com suas necessidades. Em contrapartida, os prestadores de serviço, poderão ofertar seus serviços nesta mesma plataforma e ainda poderá utilizar as mídias sociais vinculadas ao negócio para fazer a divulgação dos serviços prestados. Deste modo, os clientes em potencial terão maior opção de escolha devido à concorrência. Isso estimulará aos profissionais a prestar um serviço que seja orientado não somente pelo lucro, mas sim pela eficácia e eficiência. </w:t>
      </w:r>
    </w:p>
    <w:p w:rsidR="005B045D" w:rsidRDefault="005B045D" w:rsidP="00240637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relação dos cooperados com os detentores da plataforma ocorrerá por meio de contratos de cooperativa. Isso ocorre em virtude da maior facilidade, transparência e segurança para todos os envolvidos, inclusive para os clientes.</w:t>
      </w:r>
    </w:p>
    <w:p w:rsidR="005B045D" w:rsidRDefault="005B045D" w:rsidP="00240637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 normas fixadas pelo ministério do trabalho na CLT (consolidação das leis do trabalho) no ano de 2012 trouxe algumas diretrizes no que tange ao relacionamento de cooperativas e cooperados. </w:t>
      </w:r>
    </w:p>
    <w:p w:rsidR="005B045D" w:rsidRDefault="005B045D" w:rsidP="00240637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Academias e Prof. Educação Física podem celebrar convênios por intermédio de cooperativas de trabalho para prestação de serviços, com novas obrigações e direitos. Trata-se da a Lei 12.690/12 sancionada em 19/07/2019   que revoga leis anteriores e passar a ser o novo marco regulatório para as cooperativas de trabalho.</w:t>
      </w:r>
    </w:p>
    <w:p w:rsidR="005B045D" w:rsidRDefault="005B045D" w:rsidP="00240637">
      <w:pPr>
        <w:pStyle w:val="PargrafodaLista"/>
        <w:numPr>
          <w:ilvl w:val="0"/>
          <w:numId w:val="2"/>
        </w:num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Prazo de Contrato (Art. 7º </w:t>
      </w:r>
      <w:r w:rsidR="009C3486">
        <w:rPr>
          <w:rFonts w:ascii="Arial" w:hAnsi="Arial" w:cs="Arial"/>
          <w:sz w:val="24"/>
          <w:szCs w:val="24"/>
        </w:rPr>
        <w:t>parágrafo</w:t>
      </w:r>
      <w:r>
        <w:rPr>
          <w:rFonts w:ascii="Arial" w:hAnsi="Arial" w:cs="Arial"/>
          <w:sz w:val="24"/>
          <w:szCs w:val="24"/>
        </w:rPr>
        <w:t xml:space="preserve"> 6º) – até 1 ano sob coordenação de um gestor da cooperativa, para prazos superiores de 1 ano os cooperados devem aprovar os valores dos ganhos e funções no ato da assinatura de contrato</w:t>
      </w:r>
    </w:p>
    <w:p w:rsidR="005B045D" w:rsidRDefault="005B045D" w:rsidP="00240637">
      <w:pPr>
        <w:pStyle w:val="PargrafodaLista"/>
        <w:numPr>
          <w:ilvl w:val="0"/>
          <w:numId w:val="2"/>
        </w:num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Serviços na atividade fim ou meio (art. 4º inciso II) – podem prestar serviços especializados em terceiros sem pressupostos de relação de emprego</w:t>
      </w:r>
    </w:p>
    <w:p w:rsidR="005B045D" w:rsidRDefault="005B045D" w:rsidP="00240637">
      <w:pPr>
        <w:pStyle w:val="PargrafodaLista"/>
        <w:numPr>
          <w:ilvl w:val="0"/>
          <w:numId w:val="2"/>
        </w:num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Direitos aos Cooperados (</w:t>
      </w:r>
      <w:proofErr w:type="spellStart"/>
      <w:r>
        <w:rPr>
          <w:rFonts w:ascii="Arial" w:hAnsi="Arial" w:cs="Arial"/>
          <w:sz w:val="24"/>
          <w:szCs w:val="24"/>
        </w:rPr>
        <w:t>Art</w:t>
      </w:r>
      <w:proofErr w:type="spellEnd"/>
      <w:r>
        <w:rPr>
          <w:rFonts w:ascii="Arial" w:hAnsi="Arial" w:cs="Arial"/>
          <w:sz w:val="24"/>
          <w:szCs w:val="24"/>
        </w:rPr>
        <w:t xml:space="preserve"> 7º Inciso I ao VII) – trabalhadores das cooperativas passam a ter direito a: repouso anual remunerado, retirada não inferior ao piso da categoria sindical, repouso semanal remunerado, </w:t>
      </w:r>
      <w:r>
        <w:rPr>
          <w:rFonts w:ascii="Arial" w:hAnsi="Arial" w:cs="Arial"/>
          <w:sz w:val="24"/>
          <w:szCs w:val="24"/>
        </w:rPr>
        <w:lastRenderedPageBreak/>
        <w:t>adicional noturno e seguro de vida. Além de já contar com benefícios da previdência social INSS (auxilio doença, acidente no trabalho, aposentadoria e licença maternidade).</w:t>
      </w:r>
    </w:p>
    <w:p w:rsidR="005B045D" w:rsidRDefault="005B045D" w:rsidP="00240637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Ainda em estado inicial, a proposta deste trabalho busca desenvolver as melhores práticas para serem aplicadas neste modelo de negócios.</w:t>
      </w:r>
    </w:p>
    <w:p w:rsidR="005B045D" w:rsidRDefault="005B045D" w:rsidP="00240637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divulgação será feita nas mídias oficiais do empreendimento, qu</w:t>
      </w:r>
      <w:r w:rsidR="003967FC">
        <w:rPr>
          <w:rFonts w:cs="Arial"/>
          <w:sz w:val="24"/>
          <w:szCs w:val="24"/>
        </w:rPr>
        <w:t xml:space="preserve">e contempla </w:t>
      </w:r>
      <w:proofErr w:type="spellStart"/>
      <w:r w:rsidR="003967FC">
        <w:rPr>
          <w:rFonts w:cs="Arial"/>
          <w:sz w:val="24"/>
          <w:szCs w:val="24"/>
        </w:rPr>
        <w:t>Facebook</w:t>
      </w:r>
      <w:proofErr w:type="spellEnd"/>
      <w:r w:rsidR="003967FC">
        <w:rPr>
          <w:rFonts w:cs="Arial"/>
          <w:sz w:val="24"/>
          <w:szCs w:val="24"/>
        </w:rPr>
        <w:t xml:space="preserve">, </w:t>
      </w:r>
      <w:proofErr w:type="spellStart"/>
      <w:r w:rsidR="003967FC">
        <w:rPr>
          <w:rFonts w:cs="Arial"/>
          <w:sz w:val="24"/>
          <w:szCs w:val="24"/>
        </w:rPr>
        <w:t>Instagram</w:t>
      </w:r>
      <w:proofErr w:type="spellEnd"/>
      <w:r>
        <w:rPr>
          <w:rFonts w:cs="Arial"/>
          <w:sz w:val="24"/>
          <w:szCs w:val="24"/>
        </w:rPr>
        <w:t xml:space="preserve"> e a plataforma de ofertas. Segue abaixo a logomarca a ser utilizada</w:t>
      </w:r>
    </w:p>
    <w:p w:rsidR="005B045D" w:rsidRDefault="005B045D" w:rsidP="00240637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Com todas as informações, estudo de similares e uma análise do próprio mercado, o objetivo é de implantar a plataforma na web e iniciar os trabalhos nas cidades de Piquete, Lorena e Guaratinguetá, localizadas no estado de SP. O escritório administrativo da empresa será na </w:t>
      </w:r>
      <w:proofErr w:type="spellStart"/>
      <w:r>
        <w:rPr>
          <w:rFonts w:cs="Arial"/>
          <w:sz w:val="24"/>
          <w:szCs w:val="24"/>
        </w:rPr>
        <w:t>AV.Peixoto</w:t>
      </w:r>
      <w:proofErr w:type="spellEnd"/>
      <w:r>
        <w:rPr>
          <w:rFonts w:cs="Arial"/>
          <w:sz w:val="24"/>
          <w:szCs w:val="24"/>
        </w:rPr>
        <w:t xml:space="preserve"> de Castro. A locação do prédio ainda está sob desenvolvimento, bem como o valor a ser empregado.</w:t>
      </w:r>
    </w:p>
    <w:p w:rsidR="00D96A68" w:rsidRDefault="005B045D" w:rsidP="00240637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Os resultados da pesquisa aplicada por meio de questionário apontam para uma possível aceitação do aplicativo de serviços proposto por parte de profissionais e/ou estudantes que atuam na da Educação Física. Na relação gênero por idade, a média de idade dos entrevistados (por gênero) é da ordem de 30 anos para o feminino e 32</w:t>
      </w:r>
      <w:r w:rsidR="003967FC">
        <w:rPr>
          <w:rFonts w:cs="Arial"/>
          <w:sz w:val="24"/>
        </w:rPr>
        <w:t xml:space="preserve"> anos para o masculino (Figura 2 (a)</w:t>
      </w:r>
      <w:r>
        <w:rPr>
          <w:rFonts w:cs="Arial"/>
          <w:sz w:val="24"/>
        </w:rPr>
        <w:t>).</w:t>
      </w:r>
      <w:r w:rsidR="003967FC">
        <w:rPr>
          <w:rFonts w:cs="Arial"/>
          <w:sz w:val="24"/>
        </w:rPr>
        <w:t xml:space="preserve"> Na Figura 2 (b), a amostragem se concentra na cidade de Lorena (44%), respondendo ao recorte espacial da abrangência do serviço do aplicativo.</w:t>
      </w:r>
    </w:p>
    <w:p w:rsidR="003967FC" w:rsidRDefault="003967FC" w:rsidP="003967FC">
      <w:pPr>
        <w:spacing w:line="360" w:lineRule="auto"/>
        <w:ind w:firstLine="709"/>
        <w:rPr>
          <w:rFonts w:cs="Arial"/>
          <w:sz w:val="24"/>
        </w:rPr>
      </w:pPr>
    </w:p>
    <w:p w:rsidR="00D96A68" w:rsidRDefault="003967FC" w:rsidP="005B045D">
      <w:pPr>
        <w:spacing w:line="360" w:lineRule="auto"/>
        <w:ind w:firstLine="709"/>
        <w:rPr>
          <w:rFonts w:cs="Arial"/>
          <w:sz w:val="24"/>
        </w:rPr>
      </w:pPr>
      <w:r>
        <w:rPr>
          <w:rFonts w:cs="Arial"/>
          <w:b/>
        </w:rPr>
        <w:t>Figura</w:t>
      </w:r>
      <w:r w:rsidR="00BA4937">
        <w:rPr>
          <w:rFonts w:cs="Arial"/>
          <w:b/>
        </w:rPr>
        <w:t>s</w:t>
      </w:r>
      <w:r>
        <w:rPr>
          <w:rFonts w:cs="Arial"/>
          <w:b/>
        </w:rPr>
        <w:t xml:space="preserve"> 2</w:t>
      </w:r>
      <w:r w:rsidR="00D96A68">
        <w:rPr>
          <w:rFonts w:cs="Arial"/>
        </w:rPr>
        <w:t xml:space="preserve"> – (a) Relação gênero por idade; e (b) cidades dos participantes</w:t>
      </w:r>
    </w:p>
    <w:tbl>
      <w:tblPr>
        <w:tblStyle w:val="Tabelacomgrade"/>
        <w:tblW w:w="8642" w:type="dxa"/>
        <w:jc w:val="center"/>
        <w:tblLook w:val="04A0" w:firstRow="1" w:lastRow="0" w:firstColumn="1" w:lastColumn="0" w:noHBand="0" w:noVBand="1"/>
      </w:tblPr>
      <w:tblGrid>
        <w:gridCol w:w="4922"/>
        <w:gridCol w:w="4140"/>
      </w:tblGrid>
      <w:tr w:rsidR="005B045D" w:rsidTr="005B045D">
        <w:trPr>
          <w:jc w:val="center"/>
        </w:trPr>
        <w:tc>
          <w:tcPr>
            <w:tcW w:w="43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B045D" w:rsidRDefault="005B045D">
            <w:pPr>
              <w:spacing w:line="360" w:lineRule="auto"/>
              <w:ind w:firstLine="709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noProof/>
                <w:sz w:val="24"/>
              </w:rPr>
              <w:drawing>
                <wp:inline distT="0" distB="0" distL="0" distR="0" wp14:anchorId="02A6BDFD" wp14:editId="51D35153">
                  <wp:extent cx="2657475" cy="1457325"/>
                  <wp:effectExtent l="0" t="0" r="9525" b="9525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B045D" w:rsidRDefault="005B045D">
            <w:pPr>
              <w:spacing w:line="360" w:lineRule="auto"/>
              <w:ind w:left="-261" w:firstLine="425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noProof/>
                <w:sz w:val="24"/>
              </w:rPr>
              <w:drawing>
                <wp:inline distT="0" distB="0" distL="0" distR="0" wp14:anchorId="32E3C2C2" wp14:editId="66B362A4">
                  <wp:extent cx="2495550" cy="1495425"/>
                  <wp:effectExtent l="0" t="0" r="0" b="9525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45D" w:rsidTr="005B045D">
        <w:trPr>
          <w:jc w:val="center"/>
        </w:trPr>
        <w:tc>
          <w:tcPr>
            <w:tcW w:w="43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B045D" w:rsidRDefault="005B045D">
            <w:pPr>
              <w:spacing w:line="360" w:lineRule="auto"/>
              <w:ind w:firstLine="709"/>
              <w:jc w:val="center"/>
              <w:rPr>
                <w:rFonts w:cs="Arial"/>
                <w:sz w:val="22"/>
              </w:rPr>
            </w:pPr>
            <w:r>
              <w:rPr>
                <w:rFonts w:cs="Arial"/>
              </w:rPr>
              <w:t>(</w:t>
            </w:r>
            <w:proofErr w:type="gramStart"/>
            <w:r>
              <w:rPr>
                <w:rFonts w:cs="Arial"/>
              </w:rPr>
              <w:t>a</w:t>
            </w:r>
            <w:proofErr w:type="gramEnd"/>
            <w:r>
              <w:rPr>
                <w:rFonts w:cs="Arial"/>
              </w:rPr>
              <w:t>)</w:t>
            </w:r>
          </w:p>
        </w:tc>
        <w:tc>
          <w:tcPr>
            <w:tcW w:w="4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B045D" w:rsidRDefault="005B045D">
            <w:pPr>
              <w:spacing w:line="360" w:lineRule="auto"/>
              <w:ind w:firstLine="709"/>
              <w:jc w:val="center"/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gramStart"/>
            <w:r>
              <w:rPr>
                <w:rFonts w:cs="Arial"/>
              </w:rPr>
              <w:t>b</w:t>
            </w:r>
            <w:proofErr w:type="gramEnd"/>
            <w:r>
              <w:rPr>
                <w:rFonts w:cs="Arial"/>
              </w:rPr>
              <w:t>)</w:t>
            </w:r>
          </w:p>
        </w:tc>
      </w:tr>
      <w:tr w:rsidR="005B045D" w:rsidTr="005B045D">
        <w:trPr>
          <w:jc w:val="center"/>
        </w:trPr>
        <w:tc>
          <w:tcPr>
            <w:tcW w:w="86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B045D" w:rsidRDefault="00D96A68" w:rsidP="00D96A68">
            <w:pPr>
              <w:spacing w:line="360" w:lineRule="auto"/>
              <w:ind w:firstLine="709"/>
              <w:jc w:val="center"/>
              <w:rPr>
                <w:rFonts w:cs="Arial"/>
              </w:rPr>
            </w:pPr>
            <w:r w:rsidRPr="00D96A68">
              <w:rPr>
                <w:rFonts w:cs="Arial"/>
                <w:b/>
              </w:rPr>
              <w:t>Fonte:</w:t>
            </w:r>
            <w:r>
              <w:rPr>
                <w:rFonts w:cs="Arial"/>
              </w:rPr>
              <w:t xml:space="preserve"> Os autores (2019)</w:t>
            </w:r>
          </w:p>
        </w:tc>
      </w:tr>
    </w:tbl>
    <w:p w:rsidR="005B045D" w:rsidRDefault="005B045D" w:rsidP="005B045D">
      <w:pPr>
        <w:spacing w:line="360" w:lineRule="auto"/>
        <w:ind w:firstLine="709"/>
        <w:rPr>
          <w:rFonts w:cs="Arial"/>
          <w:sz w:val="24"/>
          <w:szCs w:val="22"/>
          <w:lang w:eastAsia="en-US"/>
        </w:rPr>
      </w:pPr>
    </w:p>
    <w:p w:rsidR="005B045D" w:rsidRDefault="003967FC" w:rsidP="00240637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 figura 3</w:t>
      </w:r>
      <w:r w:rsidR="005B045D">
        <w:rPr>
          <w:rFonts w:cs="Arial"/>
          <w:sz w:val="24"/>
          <w:szCs w:val="24"/>
        </w:rPr>
        <w:t xml:space="preserve"> (a) os entrevistados foram questionados sobre a renda e revelaram que em sua grande maioria (60%) possuem renda de 1 a 3 salários mínimos.</w:t>
      </w:r>
    </w:p>
    <w:p w:rsidR="005856A4" w:rsidRDefault="005856A4" w:rsidP="005B045D">
      <w:pPr>
        <w:spacing w:line="360" w:lineRule="auto"/>
        <w:ind w:firstLine="709"/>
        <w:rPr>
          <w:rFonts w:cs="Arial"/>
          <w:sz w:val="24"/>
          <w:szCs w:val="24"/>
        </w:rPr>
      </w:pPr>
    </w:p>
    <w:p w:rsidR="00240637" w:rsidRDefault="00240637" w:rsidP="005B045D">
      <w:pPr>
        <w:spacing w:line="360" w:lineRule="auto"/>
        <w:ind w:firstLine="709"/>
        <w:rPr>
          <w:rFonts w:cs="Arial"/>
          <w:sz w:val="24"/>
          <w:szCs w:val="24"/>
        </w:rPr>
      </w:pPr>
    </w:p>
    <w:p w:rsidR="00240637" w:rsidRDefault="00240637" w:rsidP="005B045D">
      <w:pPr>
        <w:spacing w:line="360" w:lineRule="auto"/>
        <w:ind w:firstLine="709"/>
        <w:rPr>
          <w:rFonts w:cs="Arial"/>
          <w:sz w:val="24"/>
          <w:szCs w:val="24"/>
        </w:rPr>
      </w:pPr>
    </w:p>
    <w:p w:rsidR="00240637" w:rsidRDefault="00240637" w:rsidP="005B045D">
      <w:pPr>
        <w:spacing w:line="360" w:lineRule="auto"/>
        <w:ind w:firstLine="709"/>
        <w:rPr>
          <w:rFonts w:cs="Arial"/>
          <w:sz w:val="24"/>
          <w:szCs w:val="24"/>
        </w:rPr>
      </w:pPr>
    </w:p>
    <w:p w:rsidR="00D96A68" w:rsidRPr="003967FC" w:rsidRDefault="003967FC" w:rsidP="003967FC">
      <w:pPr>
        <w:spacing w:line="360" w:lineRule="auto"/>
        <w:jc w:val="center"/>
        <w:rPr>
          <w:rFonts w:cs="Arial"/>
          <w:sz w:val="22"/>
          <w:szCs w:val="22"/>
          <w:lang w:eastAsia="en-US"/>
        </w:rPr>
      </w:pPr>
      <w:r>
        <w:rPr>
          <w:rFonts w:cs="Arial"/>
          <w:b/>
        </w:rPr>
        <w:lastRenderedPageBreak/>
        <w:t>Figura</w:t>
      </w:r>
      <w:r w:rsidR="00BA4937">
        <w:rPr>
          <w:rFonts w:cs="Arial"/>
          <w:b/>
        </w:rPr>
        <w:t>s</w:t>
      </w:r>
      <w:r>
        <w:rPr>
          <w:rFonts w:cs="Arial"/>
          <w:b/>
        </w:rPr>
        <w:t xml:space="preserve"> 3</w:t>
      </w:r>
      <w:r w:rsidR="00D96A68">
        <w:rPr>
          <w:rFonts w:cs="Arial"/>
          <w:b/>
        </w:rPr>
        <w:t xml:space="preserve"> – </w:t>
      </w:r>
      <w:r w:rsidR="00D96A68">
        <w:rPr>
          <w:rFonts w:cs="Arial"/>
        </w:rPr>
        <w:t>(a) Renda per capita; e (b) períod</w:t>
      </w:r>
      <w:r>
        <w:rPr>
          <w:rFonts w:cs="Arial"/>
        </w:rPr>
        <w:t>o de graduação dos entrevistados</w:t>
      </w:r>
    </w:p>
    <w:tbl>
      <w:tblPr>
        <w:tblStyle w:val="Tabelacomgrade"/>
        <w:tblW w:w="9612" w:type="dxa"/>
        <w:tblLook w:val="04A0" w:firstRow="1" w:lastRow="0" w:firstColumn="1" w:lastColumn="0" w:noHBand="0" w:noVBand="1"/>
      </w:tblPr>
      <w:tblGrid>
        <w:gridCol w:w="4866"/>
        <w:gridCol w:w="4776"/>
      </w:tblGrid>
      <w:tr w:rsidR="005B045D" w:rsidTr="005B045D">
        <w:trPr>
          <w:trHeight w:val="1976"/>
        </w:trPr>
        <w:tc>
          <w:tcPr>
            <w:tcW w:w="48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B045D" w:rsidRDefault="005B045D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ADC2970" wp14:editId="3B2E6AD4">
                  <wp:extent cx="2952750" cy="1371600"/>
                  <wp:effectExtent l="0" t="0" r="0" b="0"/>
                  <wp:docPr id="15" name="Gráfico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7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B045D" w:rsidRDefault="005B045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C5293E" wp14:editId="6CCC34BE">
                  <wp:extent cx="2886075" cy="1352550"/>
                  <wp:effectExtent l="0" t="0" r="9525" b="0"/>
                  <wp:docPr id="14" name="Gráfico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5B045D" w:rsidTr="005B045D">
        <w:trPr>
          <w:trHeight w:val="258"/>
        </w:trPr>
        <w:tc>
          <w:tcPr>
            <w:tcW w:w="48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B045D" w:rsidRDefault="005B045D">
            <w:pPr>
              <w:jc w:val="center"/>
            </w:pPr>
            <w:r>
              <w:t>(</w:t>
            </w:r>
            <w:proofErr w:type="gramStart"/>
            <w:r>
              <w:t>a</w:t>
            </w:r>
            <w:proofErr w:type="gramEnd"/>
            <w:r>
              <w:t>)</w:t>
            </w:r>
          </w:p>
        </w:tc>
        <w:tc>
          <w:tcPr>
            <w:tcW w:w="47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B045D" w:rsidRDefault="005B045D">
            <w:pPr>
              <w:jc w:val="center"/>
            </w:pPr>
            <w:r>
              <w:t>(</w:t>
            </w:r>
            <w:proofErr w:type="gramStart"/>
            <w:r>
              <w:t>b</w:t>
            </w:r>
            <w:proofErr w:type="gramEnd"/>
            <w:r>
              <w:t>)</w:t>
            </w:r>
          </w:p>
        </w:tc>
      </w:tr>
    </w:tbl>
    <w:p w:rsidR="005B045D" w:rsidRDefault="00D96A68" w:rsidP="00D96A68">
      <w:pPr>
        <w:spacing w:line="360" w:lineRule="auto"/>
        <w:ind w:firstLine="709"/>
        <w:jc w:val="center"/>
        <w:rPr>
          <w:rFonts w:cs="Arial"/>
        </w:rPr>
      </w:pPr>
      <w:r>
        <w:rPr>
          <w:rFonts w:cs="Arial"/>
          <w:b/>
        </w:rPr>
        <w:t>Fonte:</w:t>
      </w:r>
      <w:r>
        <w:rPr>
          <w:rFonts w:cs="Arial"/>
        </w:rPr>
        <w:t xml:space="preserve"> Os autores (2019)</w:t>
      </w:r>
    </w:p>
    <w:p w:rsidR="00D96A68" w:rsidRPr="00D96A68" w:rsidRDefault="00D96A68" w:rsidP="00D96A68">
      <w:pPr>
        <w:spacing w:line="360" w:lineRule="auto"/>
        <w:ind w:firstLine="709"/>
        <w:jc w:val="center"/>
        <w:rPr>
          <w:rFonts w:cs="Arial"/>
        </w:rPr>
      </w:pPr>
    </w:p>
    <w:p w:rsidR="005B045D" w:rsidRDefault="005B045D" w:rsidP="00240637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Na figura </w:t>
      </w:r>
      <w:r w:rsidR="003967FC">
        <w:rPr>
          <w:rFonts w:cs="Arial"/>
          <w:sz w:val="24"/>
        </w:rPr>
        <w:t>3</w:t>
      </w:r>
      <w:r>
        <w:rPr>
          <w:rFonts w:cs="Arial"/>
          <w:sz w:val="24"/>
        </w:rPr>
        <w:t xml:space="preserve"> (b), os resultados sobre escolaridade demostraram que em sua maioria (48%) os entrevistados são profissionais formados, seguido do segundo maior percentual (16%) que são de estudantes do 4° ano.</w:t>
      </w:r>
    </w:p>
    <w:p w:rsidR="005B045D" w:rsidRDefault="003967FC" w:rsidP="00240637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Na figura 4</w:t>
      </w:r>
      <w:r w:rsidR="005B045D">
        <w:rPr>
          <w:rFonts w:cs="Arial"/>
          <w:sz w:val="24"/>
        </w:rPr>
        <w:t xml:space="preserve"> (a), os entrevistados desta amostragem foram perguntados sobre trabalhar ou não na área de formação. Em sua maioria (72%), os entrevistados afirmaram já trabalhar na área de formação.</w:t>
      </w:r>
    </w:p>
    <w:p w:rsidR="00D96A68" w:rsidRDefault="00D96A68" w:rsidP="005B045D">
      <w:pPr>
        <w:spacing w:line="360" w:lineRule="auto"/>
        <w:ind w:firstLine="709"/>
        <w:rPr>
          <w:rFonts w:cs="Arial"/>
          <w:sz w:val="24"/>
        </w:rPr>
      </w:pPr>
    </w:p>
    <w:p w:rsidR="005B045D" w:rsidRPr="00D96A68" w:rsidRDefault="00D96A68" w:rsidP="00D96A68">
      <w:pPr>
        <w:spacing w:line="360" w:lineRule="auto"/>
        <w:jc w:val="center"/>
        <w:rPr>
          <w:rFonts w:cs="Arial"/>
          <w:sz w:val="22"/>
          <w:szCs w:val="22"/>
          <w:lang w:eastAsia="en-US"/>
        </w:rPr>
      </w:pPr>
      <w:r>
        <w:rPr>
          <w:rFonts w:cs="Arial"/>
          <w:b/>
        </w:rPr>
        <w:t>Figura</w:t>
      </w:r>
      <w:r w:rsidR="00BA4937">
        <w:rPr>
          <w:rFonts w:cs="Arial"/>
          <w:b/>
        </w:rPr>
        <w:t>s</w:t>
      </w:r>
      <w:r>
        <w:rPr>
          <w:rFonts w:cs="Arial"/>
          <w:b/>
        </w:rPr>
        <w:t xml:space="preserve"> </w:t>
      </w:r>
      <w:r w:rsidR="003967FC">
        <w:rPr>
          <w:rFonts w:cs="Arial"/>
          <w:b/>
        </w:rPr>
        <w:t xml:space="preserve">4 </w:t>
      </w:r>
      <w:r>
        <w:rPr>
          <w:rFonts w:cs="Arial"/>
        </w:rPr>
        <w:t>– (a) Percentual dos entrevistados que já trabalham na área de atuação e (b) Percentual dos entrevistados que trabalham formalmente, informalmente ou não trabalham.</w:t>
      </w:r>
    </w:p>
    <w:tbl>
      <w:tblPr>
        <w:tblStyle w:val="Tabelacomgrade"/>
        <w:tblW w:w="8925" w:type="dxa"/>
        <w:tblLayout w:type="fixed"/>
        <w:tblLook w:val="04A0" w:firstRow="1" w:lastRow="0" w:firstColumn="1" w:lastColumn="0" w:noHBand="0" w:noVBand="1"/>
      </w:tblPr>
      <w:tblGrid>
        <w:gridCol w:w="4416"/>
        <w:gridCol w:w="4509"/>
      </w:tblGrid>
      <w:tr w:rsidR="005B045D" w:rsidTr="005B045D">
        <w:trPr>
          <w:trHeight w:val="2625"/>
        </w:trPr>
        <w:tc>
          <w:tcPr>
            <w:tcW w:w="4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B045D" w:rsidRDefault="005B045D">
            <w:pPr>
              <w:spacing w:line="360" w:lineRule="auto"/>
              <w:ind w:left="-113" w:firstLine="113"/>
              <w:jc w:val="center"/>
              <w:rPr>
                <w:rFonts w:cs="Arial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1105BB9" wp14:editId="1B9BCE68">
                  <wp:extent cx="2667000" cy="1524000"/>
                  <wp:effectExtent l="0" t="0" r="0" b="0"/>
                  <wp:docPr id="13" name="Gráfico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B045D" w:rsidRDefault="005B045D">
            <w:pPr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34A2B8C" wp14:editId="0F756371">
                  <wp:extent cx="2828925" cy="1581150"/>
                  <wp:effectExtent l="0" t="0" r="9525" b="0"/>
                  <wp:docPr id="12" name="Gráfico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5B045D" w:rsidTr="005B045D">
        <w:trPr>
          <w:trHeight w:val="405"/>
        </w:trPr>
        <w:tc>
          <w:tcPr>
            <w:tcW w:w="4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B045D" w:rsidRDefault="005B045D">
            <w:pPr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</w:t>
            </w:r>
            <w:proofErr w:type="gramStart"/>
            <w:r>
              <w:rPr>
                <w:rFonts w:cs="Arial"/>
                <w:sz w:val="24"/>
              </w:rPr>
              <w:t>a</w:t>
            </w:r>
            <w:proofErr w:type="gramEnd"/>
            <w:r>
              <w:rPr>
                <w:rFonts w:cs="Arial"/>
                <w:sz w:val="24"/>
              </w:rPr>
              <w:t>)</w:t>
            </w:r>
          </w:p>
        </w:tc>
        <w:tc>
          <w:tcPr>
            <w:tcW w:w="4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B045D" w:rsidRDefault="005B045D">
            <w:pPr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(b)</w:t>
            </w:r>
          </w:p>
          <w:p w:rsidR="00D96A68" w:rsidRDefault="00D96A68">
            <w:pPr>
              <w:spacing w:line="360" w:lineRule="auto"/>
              <w:jc w:val="center"/>
              <w:rPr>
                <w:rFonts w:cs="Arial"/>
                <w:sz w:val="24"/>
              </w:rPr>
            </w:pPr>
          </w:p>
        </w:tc>
      </w:tr>
    </w:tbl>
    <w:p w:rsidR="00D96A68" w:rsidRPr="0043247B" w:rsidRDefault="00D96A68" w:rsidP="00D96A68">
      <w:pPr>
        <w:spacing w:line="360" w:lineRule="auto"/>
        <w:jc w:val="center"/>
        <w:rPr>
          <w:rFonts w:cs="Arial"/>
        </w:rPr>
      </w:pPr>
      <w:r w:rsidRPr="0043247B">
        <w:rPr>
          <w:rFonts w:cs="Arial"/>
          <w:b/>
        </w:rPr>
        <w:t>Fonte:</w:t>
      </w:r>
      <w:r w:rsidRPr="0043247B">
        <w:rPr>
          <w:rFonts w:cs="Arial"/>
        </w:rPr>
        <w:t xml:space="preserve"> Os autores (2019)</w:t>
      </w:r>
    </w:p>
    <w:p w:rsidR="003C5D97" w:rsidRPr="001E62D6" w:rsidRDefault="003C5D97" w:rsidP="001E62D6">
      <w:pPr>
        <w:spacing w:line="360" w:lineRule="auto"/>
        <w:ind w:firstLine="709"/>
        <w:rPr>
          <w:rFonts w:cs="Arial"/>
          <w:sz w:val="24"/>
        </w:rPr>
      </w:pPr>
      <w:r>
        <w:rPr>
          <w:rFonts w:cs="Arial"/>
          <w:sz w:val="24"/>
          <w:szCs w:val="24"/>
        </w:rPr>
        <w:t xml:space="preserve">           </w:t>
      </w:r>
    </w:p>
    <w:p w:rsidR="005B045D" w:rsidRPr="001E62D6" w:rsidRDefault="001E62D6" w:rsidP="00240637">
      <w:pPr>
        <w:rPr>
          <w:rFonts w:cs="Arial"/>
          <w:sz w:val="24"/>
        </w:rPr>
      </w:pPr>
      <w:r>
        <w:rPr>
          <w:rFonts w:cs="Arial"/>
          <w:sz w:val="24"/>
        </w:rPr>
        <w:t xml:space="preserve">           </w:t>
      </w:r>
      <w:r w:rsidR="005B045D" w:rsidRPr="001E62D6">
        <w:rPr>
          <w:rFonts w:cs="Arial"/>
          <w:sz w:val="24"/>
        </w:rPr>
        <w:t>Na figura 5 (b), a pesquisa revelou que 50% dos entrevistados trabalham formalmente em sua área de formação, enquanto 30% afirmaram trabalhar informalmente e outros 20% afirmaram não estar trabalhando.</w:t>
      </w:r>
    </w:p>
    <w:p w:rsidR="005B045D" w:rsidRPr="001E62D6" w:rsidRDefault="005B045D" w:rsidP="00240637">
      <w:pPr>
        <w:ind w:firstLine="709"/>
        <w:rPr>
          <w:rFonts w:cs="Arial"/>
          <w:sz w:val="24"/>
        </w:rPr>
      </w:pPr>
      <w:r w:rsidRPr="001E62D6">
        <w:rPr>
          <w:rFonts w:cs="Arial"/>
          <w:sz w:val="24"/>
        </w:rPr>
        <w:t xml:space="preserve">Na figura 6 (a), os resultados desta amostra revelam o percentual dos entrevistados que afirmaram conhecer ou não aplicativos de contratação de serviços, tais como uber, getninjas, 99 taxi. Em sua maioria, os entrevistados afirmaram </w:t>
      </w:r>
      <w:r w:rsidRPr="001E62D6">
        <w:rPr>
          <w:rFonts w:cs="Arial"/>
          <w:sz w:val="24"/>
        </w:rPr>
        <w:lastRenderedPageBreak/>
        <w:t>conhecer esse tipo de aplicativo (86%), enquanto apenas 14% desconhecer esse tipo de aplicativo.</w:t>
      </w:r>
    </w:p>
    <w:p w:rsidR="0043247B" w:rsidRDefault="0043247B" w:rsidP="00240637">
      <w:pPr>
        <w:ind w:right="140"/>
        <w:rPr>
          <w:rFonts w:cs="Arial"/>
          <w:b/>
        </w:rPr>
      </w:pPr>
    </w:p>
    <w:p w:rsidR="00D96A68" w:rsidRDefault="00D96A68" w:rsidP="00D96A68">
      <w:pPr>
        <w:ind w:right="140"/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cs="Arial"/>
          <w:b/>
        </w:rPr>
        <w:t>Figura 6</w:t>
      </w:r>
      <w:r>
        <w:rPr>
          <w:rFonts w:cs="Arial"/>
        </w:rPr>
        <w:t xml:space="preserve"> – (a) Percentual dos entrevistados que afirmaram conhecer ou não aplicativos de contratação de serviços; e (b) Percentual dos entrevistados que gostariam ou não de se vincular a uma plataforma de contratação de serviço</w:t>
      </w:r>
    </w:p>
    <w:p w:rsidR="00D96A68" w:rsidRDefault="00D96A68" w:rsidP="005B045D">
      <w:pPr>
        <w:ind w:right="140"/>
        <w:rPr>
          <w:rFonts w:cs="Arial"/>
          <w:sz w:val="24"/>
          <w:szCs w:val="24"/>
        </w:rPr>
      </w:pPr>
    </w:p>
    <w:tbl>
      <w:tblPr>
        <w:tblStyle w:val="Tabelacomgrade"/>
        <w:tblW w:w="10125" w:type="dxa"/>
        <w:tblInd w:w="-289" w:type="dxa"/>
        <w:tblLook w:val="04A0" w:firstRow="1" w:lastRow="0" w:firstColumn="1" w:lastColumn="0" w:noHBand="0" w:noVBand="1"/>
      </w:tblPr>
      <w:tblGrid>
        <w:gridCol w:w="5126"/>
        <w:gridCol w:w="5029"/>
      </w:tblGrid>
      <w:tr w:rsidR="005B045D" w:rsidTr="005B045D">
        <w:trPr>
          <w:trHeight w:val="3480"/>
        </w:trPr>
        <w:tc>
          <w:tcPr>
            <w:tcW w:w="5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B045D" w:rsidRDefault="005B045D">
            <w:pPr>
              <w:ind w:right="14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574A7C4" wp14:editId="0754C926">
                  <wp:extent cx="3019425" cy="1981200"/>
                  <wp:effectExtent l="0" t="0" r="9525" b="0"/>
                  <wp:docPr id="11" name="Gráfico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5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B045D" w:rsidRDefault="005B045D">
            <w:pPr>
              <w:ind w:right="140" w:hanging="247"/>
              <w:jc w:val="center"/>
            </w:pPr>
            <w:r>
              <w:rPr>
                <w:noProof/>
              </w:rPr>
              <w:drawing>
                <wp:inline distT="0" distB="0" distL="0" distR="0" wp14:anchorId="5AB55A18" wp14:editId="7A4E39C2">
                  <wp:extent cx="3124200" cy="1924050"/>
                  <wp:effectExtent l="0" t="0" r="0" b="0"/>
                  <wp:docPr id="8" name="Gráfico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5B045D" w:rsidTr="005B045D">
        <w:trPr>
          <w:trHeight w:val="255"/>
        </w:trPr>
        <w:tc>
          <w:tcPr>
            <w:tcW w:w="5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B045D" w:rsidRDefault="005B045D">
            <w:pPr>
              <w:ind w:right="140"/>
              <w:jc w:val="center"/>
            </w:pPr>
            <w:r>
              <w:t>(a)</w:t>
            </w:r>
          </w:p>
        </w:tc>
        <w:tc>
          <w:tcPr>
            <w:tcW w:w="5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B045D" w:rsidRDefault="005B045D">
            <w:pPr>
              <w:ind w:right="140"/>
              <w:jc w:val="center"/>
            </w:pPr>
            <w:r>
              <w:t>(b)</w:t>
            </w:r>
          </w:p>
        </w:tc>
      </w:tr>
    </w:tbl>
    <w:p w:rsidR="005B045D" w:rsidRDefault="005B045D" w:rsidP="005B045D">
      <w:pPr>
        <w:ind w:right="140"/>
      </w:pPr>
    </w:p>
    <w:p w:rsidR="00D96A68" w:rsidRDefault="00D96A68" w:rsidP="00D96A68">
      <w:pPr>
        <w:spacing w:line="360" w:lineRule="auto"/>
        <w:ind w:firstLine="709"/>
        <w:jc w:val="center"/>
        <w:rPr>
          <w:rFonts w:cs="Arial"/>
        </w:rPr>
      </w:pPr>
      <w:r w:rsidRPr="0043247B">
        <w:rPr>
          <w:rFonts w:cs="Arial"/>
          <w:b/>
        </w:rPr>
        <w:t>Fonte:</w:t>
      </w:r>
      <w:r w:rsidRPr="0043247B">
        <w:rPr>
          <w:rFonts w:cs="Arial"/>
        </w:rPr>
        <w:t xml:space="preserve"> Os autores (2019)</w:t>
      </w:r>
    </w:p>
    <w:p w:rsidR="00240637" w:rsidRPr="0043247B" w:rsidRDefault="00240637" w:rsidP="00D96A68">
      <w:pPr>
        <w:spacing w:line="360" w:lineRule="auto"/>
        <w:ind w:firstLine="709"/>
        <w:jc w:val="center"/>
        <w:rPr>
          <w:rFonts w:cs="Arial"/>
        </w:rPr>
      </w:pPr>
    </w:p>
    <w:p w:rsidR="00735E7E" w:rsidRDefault="005B045D" w:rsidP="00240637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Finalmente, na figura 6 (b) foi perguntado aos entrevistados se gostariam ou não de se vincular a uma plataforma de contratação de serviços. A maioria dos entrevistados (88%) afirmaram que gostariam de se vincular a uma plataforma de contratação de serviços, enquanto a minoria (12%) afirmaram negativo para essa questão.</w:t>
      </w:r>
    </w:p>
    <w:p w:rsidR="00735E7E" w:rsidRDefault="00735E7E" w:rsidP="00240637">
      <w:pPr>
        <w:ind w:firstLine="709"/>
        <w:rPr>
          <w:rFonts w:cs="Arial"/>
          <w:sz w:val="24"/>
          <w:szCs w:val="24"/>
        </w:rPr>
      </w:pPr>
    </w:p>
    <w:p w:rsidR="005B045D" w:rsidRDefault="00735E7E" w:rsidP="00240637">
      <w:pPr>
        <w:ind w:firstLine="709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5.</w:t>
      </w:r>
      <w:r w:rsidR="005B045D">
        <w:rPr>
          <w:rFonts w:cs="Arial"/>
          <w:b/>
          <w:sz w:val="24"/>
          <w:szCs w:val="24"/>
        </w:rPr>
        <w:t xml:space="preserve"> Considerações finais</w:t>
      </w:r>
    </w:p>
    <w:p w:rsidR="00240637" w:rsidRDefault="00240637" w:rsidP="00240637">
      <w:pPr>
        <w:ind w:firstLine="709"/>
        <w:rPr>
          <w:rFonts w:cs="Arial"/>
          <w:b/>
          <w:sz w:val="24"/>
          <w:szCs w:val="24"/>
        </w:rPr>
      </w:pPr>
      <w:bookmarkStart w:id="2" w:name="_GoBack"/>
      <w:bookmarkEnd w:id="2"/>
    </w:p>
    <w:p w:rsidR="005B045D" w:rsidRDefault="005B045D" w:rsidP="00240637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inspiração para a elaboração do projeto deste trabalho surgiu num brainstorming em que os autores deste trabalho enxergaram uma demanda em potencial para este tipo de empreendimento, em especial nas cidades escolhidas.</w:t>
      </w:r>
    </w:p>
    <w:p w:rsidR="005B045D" w:rsidRDefault="005B045D" w:rsidP="00240637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 mudanças pelas quais a sociedade passou desde do século XX permitiram que os indivíduos se preocupassem mais com lazer e saúde. Deste modo, vários países, em especial nos mais desenvolvidos começaram a despontar no mercado de esporte e saúde.</w:t>
      </w:r>
    </w:p>
    <w:p w:rsidR="005B045D" w:rsidRDefault="005B045D" w:rsidP="00240637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Ao início dos anos 2000, com o surgimento das redes móveis, houve um aumento na competitividade dos negócios, isto porque o público, ano a pós ano fica mais exigente devido às diferentes oportunidades que se afiguram no mercado.</w:t>
      </w:r>
    </w:p>
    <w:p w:rsidR="005B045D" w:rsidRDefault="005B045D" w:rsidP="00240637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Por fim, ao ir a campo em busca de dados estatístico que corroborassem para que tal projeto fosse viável, o resultado obtido positivo. Do ponto de vista empregatício, </w:t>
      </w:r>
      <w:r>
        <w:rPr>
          <w:rFonts w:cs="Arial"/>
          <w:sz w:val="24"/>
          <w:szCs w:val="24"/>
        </w:rPr>
        <w:lastRenderedPageBreak/>
        <w:t>verificou-se que há sim no mercado profissionais dispostos a se vincular a esse tipo de proposta.</w:t>
      </w:r>
    </w:p>
    <w:p w:rsidR="005B045D" w:rsidRDefault="005B045D" w:rsidP="005B045D">
      <w:pPr>
        <w:rPr>
          <w:rFonts w:asciiTheme="minorHAnsi" w:hAnsiTheme="minorHAnsi" w:cstheme="minorBidi"/>
          <w:sz w:val="22"/>
          <w:szCs w:val="22"/>
        </w:rPr>
      </w:pPr>
    </w:p>
    <w:p w:rsidR="00686B79" w:rsidRDefault="00735E7E" w:rsidP="00686B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REFERÊNCIAS </w:t>
      </w:r>
    </w:p>
    <w:p w:rsidR="001868E5" w:rsidRDefault="001868E5" w:rsidP="001868E5">
      <w:pPr>
        <w:adjustRightInd w:val="0"/>
        <w:rPr>
          <w:rFonts w:cs="Arial"/>
          <w:color w:val="000000"/>
        </w:rPr>
      </w:pPr>
    </w:p>
    <w:p w:rsidR="001868E5" w:rsidRPr="0043247B" w:rsidRDefault="001868E5" w:rsidP="001868E5">
      <w:pPr>
        <w:adjustRightInd w:val="0"/>
        <w:rPr>
          <w:rFonts w:cs="Arial"/>
          <w:color w:val="000000"/>
        </w:rPr>
      </w:pPr>
      <w:r w:rsidRPr="0043247B">
        <w:rPr>
          <w:rFonts w:cs="Arial"/>
          <w:color w:val="000000"/>
        </w:rPr>
        <w:t xml:space="preserve">BERTEVELLO, Gilberto. </w:t>
      </w:r>
      <w:r w:rsidRPr="0043247B">
        <w:rPr>
          <w:rFonts w:cs="Arial"/>
          <w:b/>
          <w:color w:val="000000"/>
        </w:rPr>
        <w:t>Academias de ginástica e condicionamento físico</w:t>
      </w:r>
      <w:r w:rsidRPr="0043247B">
        <w:rPr>
          <w:rFonts w:cs="Arial"/>
          <w:color w:val="000000"/>
        </w:rPr>
        <w:t xml:space="preserve"> – Sin</w:t>
      </w:r>
      <w:r w:rsidRPr="0043247B">
        <w:rPr>
          <w:rFonts w:cs="Arial"/>
          <w:color w:val="000000"/>
        </w:rPr>
        <w:softHyphen/>
        <w:t xml:space="preserve">dicatos &amp; associações. In: DA COSTA, Lamartine (Org.). </w:t>
      </w:r>
      <w:r w:rsidRPr="0043247B">
        <w:rPr>
          <w:rFonts w:cs="Arial"/>
          <w:i/>
          <w:iCs/>
          <w:color w:val="000000"/>
        </w:rPr>
        <w:t>Atlas do esporte no Brasil</w:t>
      </w:r>
      <w:r w:rsidRPr="0043247B">
        <w:rPr>
          <w:rFonts w:cs="Arial"/>
          <w:color w:val="000000"/>
        </w:rPr>
        <w:t>. Rio de Janeiro: CONFEF, 2006.</w:t>
      </w:r>
    </w:p>
    <w:p w:rsidR="00F3287D" w:rsidRDefault="00F3287D" w:rsidP="001868E5">
      <w:pPr>
        <w:adjustRightInd w:val="0"/>
        <w:rPr>
          <w:b/>
          <w:sz w:val="24"/>
          <w:szCs w:val="24"/>
        </w:rPr>
      </w:pPr>
    </w:p>
    <w:p w:rsidR="001868E5" w:rsidRPr="0043247B" w:rsidRDefault="001868E5" w:rsidP="001868E5">
      <w:pPr>
        <w:adjustRightInd w:val="0"/>
        <w:rPr>
          <w:rFonts w:cs="Arial"/>
        </w:rPr>
      </w:pPr>
      <w:r w:rsidRPr="0043247B">
        <w:rPr>
          <w:rFonts w:cs="Arial"/>
          <w:lang w:val="en-US"/>
        </w:rPr>
        <w:t xml:space="preserve">BOURG, J-F. &amp; GOUGUET, J-J. </w:t>
      </w:r>
      <w:r w:rsidRPr="0043247B">
        <w:rPr>
          <w:rFonts w:cs="Arial"/>
          <w:b/>
        </w:rPr>
        <w:t>Economia do esporte</w:t>
      </w:r>
      <w:r w:rsidRPr="0043247B">
        <w:rPr>
          <w:rFonts w:cs="Arial"/>
        </w:rPr>
        <w:t>. Bauru: Edusc, 2005</w:t>
      </w:r>
    </w:p>
    <w:p w:rsidR="001868E5" w:rsidRDefault="001868E5" w:rsidP="00686B79">
      <w:pPr>
        <w:rPr>
          <w:b/>
          <w:sz w:val="24"/>
          <w:szCs w:val="24"/>
        </w:rPr>
      </w:pPr>
    </w:p>
    <w:bookmarkEnd w:id="1"/>
    <w:p w:rsidR="000C0AF1" w:rsidRDefault="000C0AF1" w:rsidP="000C0AF1">
      <w:pPr>
        <w:rPr>
          <w:rFonts w:cs="Arial"/>
          <w:lang w:val="en-US"/>
        </w:rPr>
      </w:pPr>
      <w:r w:rsidRPr="0043247B">
        <w:rPr>
          <w:rFonts w:cs="Arial"/>
        </w:rPr>
        <w:t xml:space="preserve">CABRAL, MAGALI; ABAD, AMANDA. </w:t>
      </w:r>
      <w:r w:rsidRPr="0043247B">
        <w:rPr>
          <w:rFonts w:cs="Arial"/>
          <w:b/>
        </w:rPr>
        <w:t>Como a globalização transformou a prática esportiva em uma máquina de fazer dinheiro</w:t>
      </w:r>
      <w:r w:rsidRPr="0043247B">
        <w:rPr>
          <w:rFonts w:cs="Arial"/>
        </w:rPr>
        <w:t xml:space="preserve">. </w:t>
      </w:r>
      <w:r w:rsidRPr="0043247B">
        <w:rPr>
          <w:rFonts w:cs="Arial"/>
          <w:lang w:val="en-US"/>
        </w:rPr>
        <w:t>PAGINA 22, SÃO PAULO, v. 6, n. 75, p. 20-24, jun. 2013.</w:t>
      </w:r>
    </w:p>
    <w:p w:rsidR="001868E5" w:rsidRDefault="001868E5" w:rsidP="000C0AF1">
      <w:pPr>
        <w:rPr>
          <w:rFonts w:cs="Arial"/>
          <w:lang w:val="en-US"/>
        </w:rPr>
      </w:pPr>
    </w:p>
    <w:p w:rsidR="001868E5" w:rsidRDefault="001868E5" w:rsidP="001868E5">
      <w:pPr>
        <w:adjustRightInd w:val="0"/>
        <w:rPr>
          <w:rFonts w:cs="Arial"/>
          <w:color w:val="000000"/>
        </w:rPr>
      </w:pPr>
      <w:r w:rsidRPr="0043247B">
        <w:rPr>
          <w:rFonts w:cs="Arial"/>
          <w:color w:val="000000"/>
          <w:lang w:val="en-US"/>
        </w:rPr>
        <w:t xml:space="preserve">CAPINUSSÚ, José Maurício. </w:t>
      </w:r>
      <w:r w:rsidRPr="0043247B">
        <w:rPr>
          <w:rFonts w:cs="Arial"/>
          <w:b/>
          <w:color w:val="000000"/>
        </w:rPr>
        <w:t>Academias de ginástica e condicionamento físico: ori</w:t>
      </w:r>
      <w:r w:rsidRPr="0043247B">
        <w:rPr>
          <w:rFonts w:cs="Arial"/>
          <w:b/>
          <w:color w:val="000000"/>
        </w:rPr>
        <w:softHyphen/>
        <w:t>gens.</w:t>
      </w:r>
      <w:r w:rsidRPr="0043247B">
        <w:rPr>
          <w:rFonts w:cs="Arial"/>
          <w:color w:val="000000"/>
        </w:rPr>
        <w:t xml:space="preserve"> In: DA COSTA, Lamartine (Org.). </w:t>
      </w:r>
      <w:r w:rsidRPr="0043247B">
        <w:rPr>
          <w:rFonts w:cs="Arial"/>
          <w:i/>
          <w:iCs/>
          <w:color w:val="000000"/>
        </w:rPr>
        <w:t>Atlas do esporte no Brasil</w:t>
      </w:r>
      <w:r w:rsidRPr="0043247B">
        <w:rPr>
          <w:rFonts w:cs="Arial"/>
          <w:color w:val="000000"/>
        </w:rPr>
        <w:t>. Rio de Janeiro: CONFEF, 2006.</w:t>
      </w:r>
    </w:p>
    <w:p w:rsidR="001868E5" w:rsidRPr="0043247B" w:rsidRDefault="001868E5" w:rsidP="001868E5">
      <w:pPr>
        <w:adjustRightInd w:val="0"/>
        <w:rPr>
          <w:rFonts w:cs="Arial"/>
        </w:rPr>
      </w:pPr>
    </w:p>
    <w:p w:rsidR="001868E5" w:rsidRDefault="001868E5" w:rsidP="001868E5">
      <w:pPr>
        <w:adjustRightInd w:val="0"/>
        <w:rPr>
          <w:rFonts w:cs="Arial"/>
          <w:lang w:val="en-US"/>
        </w:rPr>
      </w:pPr>
      <w:r w:rsidRPr="0043247B">
        <w:rPr>
          <w:rFonts w:cs="Arial"/>
          <w:lang w:val="en-US"/>
        </w:rPr>
        <w:t xml:space="preserve">CHELLADURAI, P. </w:t>
      </w:r>
      <w:r w:rsidRPr="0043247B">
        <w:rPr>
          <w:rFonts w:cs="Arial"/>
          <w:b/>
          <w:bCs/>
          <w:lang w:val="en-US"/>
        </w:rPr>
        <w:t>Managing organizations for sport and physical activity</w:t>
      </w:r>
      <w:r w:rsidRPr="0043247B">
        <w:rPr>
          <w:rFonts w:cs="Arial"/>
          <w:lang w:val="en-US"/>
        </w:rPr>
        <w:t>: a systems perspective. Scottsdale: Holcomb Hathaway 3rd. ed. Scottsdale: Holcomb Hathaway, 2009.</w:t>
      </w:r>
    </w:p>
    <w:p w:rsidR="001868E5" w:rsidRDefault="001868E5" w:rsidP="001868E5">
      <w:pPr>
        <w:adjustRightInd w:val="0"/>
        <w:rPr>
          <w:rFonts w:cs="Arial"/>
          <w:lang w:val="en-US"/>
        </w:rPr>
      </w:pPr>
    </w:p>
    <w:p w:rsidR="001868E5" w:rsidRPr="0043247B" w:rsidRDefault="001868E5" w:rsidP="001868E5">
      <w:pPr>
        <w:rPr>
          <w:rFonts w:cs="Arial"/>
        </w:rPr>
      </w:pPr>
      <w:r w:rsidRPr="0043247B">
        <w:rPr>
          <w:rFonts w:cs="Arial"/>
        </w:rPr>
        <w:t xml:space="preserve">FONSECA, J. J. S. </w:t>
      </w:r>
      <w:r w:rsidRPr="0043247B">
        <w:rPr>
          <w:rFonts w:cs="Arial"/>
          <w:b/>
        </w:rPr>
        <w:t>Metodologia da pesquisa científica</w:t>
      </w:r>
      <w:r w:rsidRPr="0043247B">
        <w:rPr>
          <w:rFonts w:cs="Arial"/>
        </w:rPr>
        <w:t>. Fortaleza: UEC, 2002. p.20. Apostila.</w:t>
      </w:r>
    </w:p>
    <w:p w:rsidR="001868E5" w:rsidRPr="0043247B" w:rsidRDefault="001868E5" w:rsidP="001868E5">
      <w:pPr>
        <w:adjustRightInd w:val="0"/>
        <w:rPr>
          <w:rFonts w:cs="Arial"/>
          <w:lang w:val="en-US"/>
        </w:rPr>
      </w:pPr>
    </w:p>
    <w:p w:rsidR="001868E5" w:rsidRPr="0043247B" w:rsidRDefault="001868E5" w:rsidP="001868E5">
      <w:pPr>
        <w:adjustRightInd w:val="0"/>
        <w:rPr>
          <w:rFonts w:cs="Arial"/>
          <w:color w:val="000000"/>
        </w:rPr>
      </w:pPr>
      <w:r w:rsidRPr="0043247B">
        <w:rPr>
          <w:rFonts w:cs="Arial"/>
          <w:color w:val="000000"/>
        </w:rPr>
        <w:t xml:space="preserve">FURTADO, Roberto Pereira. </w:t>
      </w:r>
      <w:r w:rsidRPr="0043247B">
        <w:rPr>
          <w:rFonts w:cs="Arial"/>
          <w:b/>
          <w:color w:val="000000"/>
        </w:rPr>
        <w:t>Do fitness ao wellnes: os três estágios de desenvolvimento das academias de ginástica</w:t>
      </w:r>
      <w:r w:rsidRPr="0043247B">
        <w:rPr>
          <w:rFonts w:cs="Arial"/>
          <w:color w:val="000000"/>
        </w:rPr>
        <w:t>. Pensar a prática, Goiás, v. 12, n. 1, p. 1-11, abr./28. 08.</w:t>
      </w:r>
    </w:p>
    <w:p w:rsidR="001868E5" w:rsidRPr="0043247B" w:rsidRDefault="001868E5" w:rsidP="001868E5">
      <w:pPr>
        <w:adjustRightInd w:val="0"/>
        <w:rPr>
          <w:rFonts w:cs="Arial"/>
          <w:color w:val="000000"/>
        </w:rPr>
      </w:pPr>
    </w:p>
    <w:p w:rsidR="001868E5" w:rsidRPr="0043247B" w:rsidRDefault="001868E5" w:rsidP="001868E5">
      <w:pPr>
        <w:adjustRightInd w:val="0"/>
        <w:rPr>
          <w:rFonts w:cs="Arial"/>
          <w:lang w:val="en-US"/>
        </w:rPr>
      </w:pPr>
      <w:r w:rsidRPr="0043247B">
        <w:rPr>
          <w:rFonts w:cs="Arial"/>
          <w:lang w:val="en-US"/>
        </w:rPr>
        <w:t xml:space="preserve">MEEK, A. An estimate of the size and supported economic activity of the sports industry in the United States. </w:t>
      </w:r>
      <w:r w:rsidRPr="0043247B">
        <w:rPr>
          <w:rFonts w:cs="Arial"/>
          <w:b/>
          <w:bCs/>
          <w:lang w:val="en-US"/>
        </w:rPr>
        <w:t xml:space="preserve">Sport Marketing Quarterly, </w:t>
      </w:r>
      <w:r w:rsidRPr="0043247B">
        <w:rPr>
          <w:rFonts w:cs="Arial"/>
          <w:lang w:val="en-US"/>
        </w:rPr>
        <w:t>Chicago, v.6, p.15-21, 1997.</w:t>
      </w:r>
    </w:p>
    <w:p w:rsidR="001868E5" w:rsidRPr="0043247B" w:rsidRDefault="001868E5" w:rsidP="000C0AF1">
      <w:pPr>
        <w:rPr>
          <w:rFonts w:cs="Arial"/>
          <w:lang w:val="en-US"/>
        </w:rPr>
      </w:pPr>
    </w:p>
    <w:p w:rsidR="0043247B" w:rsidRPr="0043247B" w:rsidRDefault="000C0AF1" w:rsidP="000C0AF1">
      <w:pPr>
        <w:rPr>
          <w:rFonts w:cs="Arial"/>
          <w:lang w:val="en-US"/>
        </w:rPr>
      </w:pPr>
      <w:r w:rsidRPr="0043247B">
        <w:rPr>
          <w:rFonts w:cs="Arial"/>
          <w:lang w:val="en-US"/>
        </w:rPr>
        <w:t xml:space="preserve">PITTS, B.G.; STOTLAR, D.K. </w:t>
      </w:r>
      <w:r w:rsidRPr="0043247B">
        <w:rPr>
          <w:rFonts w:cs="Arial"/>
          <w:b/>
          <w:lang w:val="en-US"/>
        </w:rPr>
        <w:t>Fundamentals of sport marketing</w:t>
      </w:r>
      <w:r w:rsidRPr="0043247B">
        <w:rPr>
          <w:rFonts w:cs="Arial"/>
          <w:lang w:val="en-US"/>
        </w:rPr>
        <w:t>. 2° ed. Morgantown: Fitness Information Technology, 2002</w:t>
      </w:r>
    </w:p>
    <w:p w:rsidR="000C0AF1" w:rsidRPr="0043247B" w:rsidRDefault="000C0AF1" w:rsidP="000C0AF1">
      <w:pPr>
        <w:rPr>
          <w:rFonts w:cs="Arial"/>
          <w:lang w:val="en-US"/>
        </w:rPr>
      </w:pPr>
      <w:r w:rsidRPr="0043247B">
        <w:rPr>
          <w:rFonts w:cs="Arial"/>
          <w:lang w:val="en-US"/>
        </w:rPr>
        <w:t>.</w:t>
      </w:r>
    </w:p>
    <w:p w:rsidR="000C0AF1" w:rsidRPr="0043247B" w:rsidRDefault="000C0AF1" w:rsidP="000C0AF1">
      <w:pPr>
        <w:adjustRightInd w:val="0"/>
        <w:rPr>
          <w:rFonts w:cs="Arial"/>
          <w:lang w:val="en-US"/>
        </w:rPr>
      </w:pPr>
    </w:p>
    <w:p w:rsidR="000C0AF1" w:rsidRPr="0043247B" w:rsidRDefault="000C0AF1" w:rsidP="000C0AF1">
      <w:pPr>
        <w:adjustRightInd w:val="0"/>
        <w:rPr>
          <w:rFonts w:cs="Arial"/>
          <w:b/>
          <w:bCs/>
          <w:lang w:val="en-US"/>
        </w:rPr>
      </w:pPr>
    </w:p>
    <w:p w:rsidR="000C0AF1" w:rsidRPr="0043247B" w:rsidRDefault="000C0AF1" w:rsidP="000C0AF1">
      <w:pPr>
        <w:adjustRightInd w:val="0"/>
        <w:rPr>
          <w:rFonts w:cs="Arial"/>
          <w:color w:val="000000"/>
        </w:rPr>
      </w:pPr>
    </w:p>
    <w:p w:rsidR="000C0AF1" w:rsidRPr="0043247B" w:rsidRDefault="000C0AF1" w:rsidP="000C0AF1">
      <w:pPr>
        <w:adjustRightInd w:val="0"/>
        <w:rPr>
          <w:rFonts w:cs="Arial"/>
          <w:color w:val="000000"/>
        </w:rPr>
      </w:pPr>
    </w:p>
    <w:p w:rsidR="000C0AF1" w:rsidRPr="0043247B" w:rsidRDefault="000C0AF1" w:rsidP="000C0AF1">
      <w:pPr>
        <w:pStyle w:val="PargrafodaLista"/>
        <w:spacing w:after="0" w:line="240" w:lineRule="auto"/>
        <w:ind w:left="709" w:hanging="709"/>
        <w:rPr>
          <w:rFonts w:ascii="Arial" w:hAnsi="Arial" w:cs="Arial"/>
          <w:sz w:val="20"/>
          <w:szCs w:val="20"/>
        </w:rPr>
      </w:pPr>
    </w:p>
    <w:p w:rsidR="000C0AF1" w:rsidRPr="0043247B" w:rsidRDefault="000C0AF1" w:rsidP="000C0AF1">
      <w:pPr>
        <w:adjustRightInd w:val="0"/>
        <w:rPr>
          <w:rFonts w:cs="Arial"/>
          <w:b/>
          <w:bCs/>
        </w:rPr>
      </w:pPr>
    </w:p>
    <w:p w:rsidR="00154974" w:rsidRPr="0043247B" w:rsidRDefault="00630FC0" w:rsidP="000C0AF1">
      <w:pPr>
        <w:pStyle w:val="NormalWeb"/>
        <w:shd w:val="clear" w:color="auto" w:fill="FFFFFF"/>
        <w:spacing w:before="0" w:beforeAutospacing="0" w:after="150" w:afterAutospacing="0" w:line="360" w:lineRule="auto"/>
        <w:rPr>
          <w:sz w:val="20"/>
          <w:szCs w:val="20"/>
        </w:rPr>
      </w:pPr>
    </w:p>
    <w:sectPr w:rsidR="00154974" w:rsidRPr="0043247B" w:rsidSect="00696317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2524" w:right="1134" w:bottom="2127" w:left="1701" w:header="720" w:footer="121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FC0" w:rsidRDefault="00630FC0">
      <w:r>
        <w:separator/>
      </w:r>
    </w:p>
  </w:endnote>
  <w:endnote w:type="continuationSeparator" w:id="0">
    <w:p w:rsidR="00630FC0" w:rsidRDefault="0063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B6" w:rsidRDefault="00686B7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74EB6" w:rsidRDefault="00630FC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552" w:rsidRPr="00BC7195" w:rsidRDefault="00292221">
    <w:pPr>
      <w:pStyle w:val="Rodap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688F9FF" wp14:editId="1FEB7C1D">
          <wp:simplePos x="0" y="0"/>
          <wp:positionH relativeFrom="margin">
            <wp:posOffset>1263015</wp:posOffset>
          </wp:positionH>
          <wp:positionV relativeFrom="margin">
            <wp:posOffset>8055610</wp:posOffset>
          </wp:positionV>
          <wp:extent cx="3714750" cy="959485"/>
          <wp:effectExtent l="0" t="0" r="0" b="0"/>
          <wp:wrapSquare wrapText="bothSides"/>
          <wp:docPr id="5" name="Imagem 5" descr="Descrição: http://i65.tinypic.com/dca82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http://i65.tinypic.com/dca82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29"/>
                  <a:stretch/>
                </pic:blipFill>
                <pic:spPr bwMode="auto">
                  <a:xfrm>
                    <a:off x="0" y="0"/>
                    <a:ext cx="371475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B79">
      <w:rPr>
        <w:noProof/>
      </w:rPr>
      <w:drawing>
        <wp:anchor distT="0" distB="0" distL="114300" distR="114300" simplePos="0" relativeHeight="251659264" behindDoc="0" locked="0" layoutInCell="1" allowOverlap="1" wp14:anchorId="71B9AE53" wp14:editId="7B61A467">
          <wp:simplePos x="0" y="0"/>
          <wp:positionH relativeFrom="margin">
            <wp:posOffset>-670560</wp:posOffset>
          </wp:positionH>
          <wp:positionV relativeFrom="margin">
            <wp:posOffset>8065135</wp:posOffset>
          </wp:positionV>
          <wp:extent cx="1356995" cy="959485"/>
          <wp:effectExtent l="0" t="0" r="0" b="0"/>
          <wp:wrapSquare wrapText="bothSides"/>
          <wp:docPr id="2" name="Imagem 2" descr="Descrição: http://i65.tinypic.com/dca82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http://i65.tinypic.com/dca82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941"/>
                  <a:stretch/>
                </pic:blipFill>
                <pic:spPr bwMode="auto">
                  <a:xfrm>
                    <a:off x="0" y="0"/>
                    <a:ext cx="135699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B7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ED062A" wp14:editId="7F12781C">
              <wp:simplePos x="0" y="0"/>
              <wp:positionH relativeFrom="column">
                <wp:posOffset>974090</wp:posOffset>
              </wp:positionH>
              <wp:positionV relativeFrom="paragraph">
                <wp:posOffset>-202565</wp:posOffset>
              </wp:positionV>
              <wp:extent cx="2299970" cy="237490"/>
              <wp:effectExtent l="2540" t="0" r="1905" b="317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B50" w:rsidRPr="001E0AF0" w:rsidRDefault="00686B79" w:rsidP="00E66B5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Apoio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ED062A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76.7pt;margin-top:-15.95pt;width:181.1pt;height:18.7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" stroked="f">
              <v:textbox style="mso-fit-shape-to-text:t">
                <w:txbxContent>
                  <w:p w:rsidR="00E66B50" w:rsidRPr="001E0AF0" w:rsidRDefault="00686B79" w:rsidP="00E66B5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Apoio</w:t>
                    </w:r>
                  </w:p>
                </w:txbxContent>
              </v:textbox>
            </v:shape>
          </w:pict>
        </mc:Fallback>
      </mc:AlternateContent>
    </w:r>
    <w:r w:rsidR="00686B7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96B7F2" wp14:editId="6B1B766F">
              <wp:simplePos x="0" y="0"/>
              <wp:positionH relativeFrom="column">
                <wp:posOffset>-511810</wp:posOffset>
              </wp:positionH>
              <wp:positionV relativeFrom="paragraph">
                <wp:posOffset>-202565</wp:posOffset>
              </wp:positionV>
              <wp:extent cx="2301875" cy="237490"/>
              <wp:effectExtent l="2540" t="0" r="0" b="317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87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AF0" w:rsidRPr="001E0AF0" w:rsidRDefault="00686B79">
                          <w:pPr>
                            <w:rPr>
                              <w:b/>
                            </w:rPr>
                          </w:pPr>
                          <w:r w:rsidRPr="001E0AF0">
                            <w:rPr>
                              <w:b/>
                            </w:rPr>
                            <w:t>Realização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296B7F2" id="Caixa de texto 3" o:spid="_x0000_s1027" type="#_x0000_t202" style="position:absolute;left:0;text-align:left;margin-left:-40.3pt;margin-top:-15.95pt;width:181.25pt;height:18.7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" stroked="f">
              <v:textbox style="mso-fit-shape-to-text:t">
                <w:txbxContent>
                  <w:p w:rsidR="001E0AF0" w:rsidRPr="001E0AF0" w:rsidRDefault="00686B79">
                    <w:pPr>
                      <w:rPr>
                        <w:b/>
                      </w:rPr>
                    </w:pPr>
                    <w:r w:rsidRPr="001E0AF0">
                      <w:rPr>
                        <w:b/>
                      </w:rPr>
                      <w:t>Realização</w:t>
                    </w:r>
                  </w:p>
                </w:txbxContent>
              </v:textbox>
            </v:shape>
          </w:pict>
        </mc:Fallback>
      </mc:AlternateContent>
    </w:r>
  </w:p>
  <w:p w:rsidR="00B07EE1" w:rsidRDefault="00686B79">
    <w:pPr>
      <w:pStyle w:val="Rodap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79B7106" wp14:editId="414B9E90">
          <wp:simplePos x="0" y="0"/>
          <wp:positionH relativeFrom="margin">
            <wp:posOffset>4853940</wp:posOffset>
          </wp:positionH>
          <wp:positionV relativeFrom="margin">
            <wp:posOffset>8434705</wp:posOffset>
          </wp:positionV>
          <wp:extent cx="790575" cy="167005"/>
          <wp:effectExtent l="0" t="0" r="9525" b="444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pes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EB7" w:rsidRDefault="00686B79" w:rsidP="00D60EB7">
    <w:pPr>
      <w:pStyle w:val="Rodap"/>
      <w:jc w:val="center"/>
    </w:pPr>
    <w:r>
      <w:t xml:space="preserve">II CONINTER – Congresso Internacional Interdisciplinar em Sociais e Humanidades </w:t>
    </w:r>
  </w:p>
  <w:p w:rsidR="00B964BA" w:rsidRDefault="00686B79" w:rsidP="00D60EB7">
    <w:pPr>
      <w:pStyle w:val="Rodap"/>
      <w:jc w:val="center"/>
    </w:pPr>
    <w:r>
      <w:t>Belo Horizonte, de 8 a 11 de outubro de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FC0" w:rsidRDefault="00630FC0">
      <w:r>
        <w:separator/>
      </w:r>
    </w:p>
  </w:footnote>
  <w:footnote w:type="continuationSeparator" w:id="0">
    <w:p w:rsidR="00630FC0" w:rsidRDefault="00630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D4" w:rsidRDefault="0068594A" w:rsidP="000C3153">
    <w:pPr>
      <w:pStyle w:val="Cabealho"/>
      <w:jc w:val="righ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C5552AB" wp14:editId="30512C6F">
          <wp:simplePos x="0" y="0"/>
          <wp:positionH relativeFrom="margin">
            <wp:posOffset>4253865</wp:posOffset>
          </wp:positionH>
          <wp:positionV relativeFrom="margin">
            <wp:posOffset>-1365250</wp:posOffset>
          </wp:positionV>
          <wp:extent cx="1905000" cy="906780"/>
          <wp:effectExtent l="0" t="0" r="0" b="762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3153">
      <w:rPr>
        <w:noProof/>
      </w:rPr>
      <w:drawing>
        <wp:anchor distT="0" distB="0" distL="114300" distR="114300" simplePos="0" relativeHeight="251666432" behindDoc="0" locked="0" layoutInCell="1" allowOverlap="1" wp14:anchorId="66FDC483" wp14:editId="3068B786">
          <wp:simplePos x="0" y="0"/>
          <wp:positionH relativeFrom="margin">
            <wp:posOffset>689610</wp:posOffset>
          </wp:positionH>
          <wp:positionV relativeFrom="margin">
            <wp:posOffset>-3382010</wp:posOffset>
          </wp:positionV>
          <wp:extent cx="1278890" cy="4832350"/>
          <wp:effectExtent l="0" t="508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313"/>
                  <a:stretch/>
                </pic:blipFill>
                <pic:spPr bwMode="auto">
                  <a:xfrm rot="5400000">
                    <a:off x="0" y="0"/>
                    <a:ext cx="1278890" cy="4832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8C9" w:rsidRDefault="00686B79">
    <w:pPr>
      <w:pStyle w:val="Cabealho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A273AFB" wp14:editId="1E0E6CB4">
          <wp:simplePos x="0" y="0"/>
          <wp:positionH relativeFrom="margin">
            <wp:posOffset>-948690</wp:posOffset>
          </wp:positionH>
          <wp:positionV relativeFrom="margin">
            <wp:posOffset>-1087120</wp:posOffset>
          </wp:positionV>
          <wp:extent cx="2113280" cy="905510"/>
          <wp:effectExtent l="0" t="0" r="1270" b="8890"/>
          <wp:wrapSquare wrapText="bothSides"/>
          <wp:docPr id="1" name="Imagem 1" descr="Logotipo_SIDTe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tipo_SIDTe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22BA2" w:rsidRPr="00447739" w:rsidRDefault="00630FC0" w:rsidP="0044773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F19FA"/>
    <w:multiLevelType w:val="hybridMultilevel"/>
    <w:tmpl w:val="C57248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B6627"/>
    <w:multiLevelType w:val="multilevel"/>
    <w:tmpl w:val="09CAE04A"/>
    <w:lvl w:ilvl="0">
      <w:start w:val="1"/>
      <w:numFmt w:val="decimal"/>
      <w:pStyle w:val="Se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79"/>
    <w:rsid w:val="00057E74"/>
    <w:rsid w:val="000C0AF1"/>
    <w:rsid w:val="000C213F"/>
    <w:rsid w:val="000C3153"/>
    <w:rsid w:val="000E0DE7"/>
    <w:rsid w:val="00151AF3"/>
    <w:rsid w:val="001868E5"/>
    <w:rsid w:val="001E428C"/>
    <w:rsid w:val="001E62D6"/>
    <w:rsid w:val="00215434"/>
    <w:rsid w:val="00240637"/>
    <w:rsid w:val="00292221"/>
    <w:rsid w:val="0033548A"/>
    <w:rsid w:val="003967FC"/>
    <w:rsid w:val="003C532F"/>
    <w:rsid w:val="003C5D97"/>
    <w:rsid w:val="0043247B"/>
    <w:rsid w:val="00507C9E"/>
    <w:rsid w:val="00565168"/>
    <w:rsid w:val="005856A4"/>
    <w:rsid w:val="00596B11"/>
    <w:rsid w:val="005B045D"/>
    <w:rsid w:val="00630FC0"/>
    <w:rsid w:val="00654AE1"/>
    <w:rsid w:val="0068594A"/>
    <w:rsid w:val="00686B79"/>
    <w:rsid w:val="00735C5F"/>
    <w:rsid w:val="00735E7E"/>
    <w:rsid w:val="007553F3"/>
    <w:rsid w:val="0082067A"/>
    <w:rsid w:val="008B13D5"/>
    <w:rsid w:val="008B1794"/>
    <w:rsid w:val="00934EB1"/>
    <w:rsid w:val="009C3486"/>
    <w:rsid w:val="00A75532"/>
    <w:rsid w:val="00A836D8"/>
    <w:rsid w:val="00BA4937"/>
    <w:rsid w:val="00C13EAD"/>
    <w:rsid w:val="00C62613"/>
    <w:rsid w:val="00D53308"/>
    <w:rsid w:val="00D544B4"/>
    <w:rsid w:val="00D70D8D"/>
    <w:rsid w:val="00D96A68"/>
    <w:rsid w:val="00E218E7"/>
    <w:rsid w:val="00EE1321"/>
    <w:rsid w:val="00F3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F0052D-D6CD-4DC5-8557-29D98087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esumo"/>
    <w:qFormat/>
    <w:rsid w:val="00686B79"/>
    <w:pPr>
      <w:autoSpaceDE w:val="0"/>
      <w:autoSpaceDN w:val="0"/>
      <w:spacing w:after="0" w:line="240" w:lineRule="auto"/>
      <w:jc w:val="both"/>
    </w:pPr>
    <w:rPr>
      <w:rFonts w:ascii="Arial" w:eastAsia="MS Mincho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86B7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6B79"/>
    <w:rPr>
      <w:rFonts w:ascii="Arial" w:eastAsia="MS Mincho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86B7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86B79"/>
    <w:rPr>
      <w:rFonts w:ascii="Arial" w:eastAsia="MS Mincho" w:hAnsi="Arial" w:cs="Times New Roman"/>
      <w:sz w:val="20"/>
      <w:szCs w:val="20"/>
      <w:lang w:eastAsia="pt-BR"/>
    </w:rPr>
  </w:style>
  <w:style w:type="character" w:styleId="Forte">
    <w:name w:val="Strong"/>
    <w:qFormat/>
    <w:rsid w:val="00686B79"/>
    <w:rPr>
      <w:b/>
      <w:bCs/>
    </w:rPr>
  </w:style>
  <w:style w:type="paragraph" w:styleId="NormalWeb">
    <w:name w:val="Normal (Web)"/>
    <w:basedOn w:val="Normal"/>
    <w:uiPriority w:val="99"/>
    <w:unhideWhenUsed/>
    <w:rsid w:val="00686B79"/>
    <w:pPr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686B79"/>
    <w:rPr>
      <w:color w:val="0000FF"/>
      <w:u w:val="single"/>
    </w:rPr>
  </w:style>
  <w:style w:type="paragraph" w:customStyle="1" w:styleId="FPCNomedoAutor">
    <w:name w:val="FPC Nome do Autor"/>
    <w:basedOn w:val="Normal"/>
    <w:rsid w:val="00686B79"/>
    <w:pPr>
      <w:autoSpaceDE/>
      <w:autoSpaceDN/>
      <w:spacing w:before="360" w:after="120"/>
      <w:jc w:val="center"/>
    </w:pPr>
    <w:rPr>
      <w:b/>
      <w:sz w:val="24"/>
      <w:szCs w:val="24"/>
    </w:rPr>
  </w:style>
  <w:style w:type="paragraph" w:customStyle="1" w:styleId="FPCTextonormal">
    <w:name w:val="FPC Texto normal"/>
    <w:basedOn w:val="Normal"/>
    <w:rsid w:val="00686B79"/>
    <w:pPr>
      <w:autoSpaceDE/>
      <w:autoSpaceDN/>
      <w:spacing w:before="120" w:after="120"/>
    </w:pPr>
    <w:rPr>
      <w:sz w:val="22"/>
      <w:szCs w:val="24"/>
    </w:rPr>
  </w:style>
  <w:style w:type="paragraph" w:styleId="Ttulo">
    <w:name w:val="Title"/>
    <w:basedOn w:val="Normal"/>
    <w:next w:val="Normal"/>
    <w:link w:val="TtuloChar"/>
    <w:qFormat/>
    <w:rsid w:val="00686B79"/>
    <w:pPr>
      <w:spacing w:line="360" w:lineRule="auto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basedOn w:val="Fontepargpadro"/>
    <w:link w:val="Ttulo"/>
    <w:rsid w:val="00686B79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styleId="Subttulo">
    <w:name w:val="Subtitle"/>
    <w:aliases w:val="Citação Direta"/>
    <w:basedOn w:val="Normal"/>
    <w:next w:val="Normal"/>
    <w:link w:val="SubttuloChar"/>
    <w:qFormat/>
    <w:rsid w:val="00686B79"/>
    <w:pPr>
      <w:ind w:left="2268"/>
    </w:pPr>
    <w:rPr>
      <w:rFonts w:eastAsia="Times New Roman"/>
      <w:szCs w:val="24"/>
    </w:rPr>
  </w:style>
  <w:style w:type="character" w:customStyle="1" w:styleId="SubttuloChar">
    <w:name w:val="Subtítulo Char"/>
    <w:aliases w:val="Citação Direta Char"/>
    <w:basedOn w:val="Fontepargpadro"/>
    <w:link w:val="Subttulo"/>
    <w:rsid w:val="00686B79"/>
    <w:rPr>
      <w:rFonts w:ascii="Arial" w:eastAsia="Times New Roman" w:hAnsi="Arial" w:cs="Times New Roman"/>
      <w:sz w:val="20"/>
      <w:szCs w:val="24"/>
      <w:lang w:eastAsia="pt-BR"/>
    </w:rPr>
  </w:style>
  <w:style w:type="paragraph" w:customStyle="1" w:styleId="Seo">
    <w:name w:val="Seção"/>
    <w:basedOn w:val="Normal"/>
    <w:link w:val="SeoChar"/>
    <w:qFormat/>
    <w:rsid w:val="00686B79"/>
    <w:pPr>
      <w:numPr>
        <w:numId w:val="1"/>
      </w:numPr>
    </w:pPr>
    <w:rPr>
      <w:b/>
      <w:sz w:val="24"/>
      <w:szCs w:val="24"/>
    </w:rPr>
  </w:style>
  <w:style w:type="paragraph" w:styleId="SemEspaamento">
    <w:name w:val="No Spacing"/>
    <w:uiPriority w:val="1"/>
    <w:qFormat/>
    <w:rsid w:val="00686B79"/>
    <w:pPr>
      <w:autoSpaceDE w:val="0"/>
      <w:autoSpaceDN w:val="0"/>
      <w:spacing w:after="0" w:line="240" w:lineRule="auto"/>
      <w:ind w:firstLine="709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SeoChar">
    <w:name w:val="Seção Char"/>
    <w:link w:val="Seo"/>
    <w:rsid w:val="00686B79"/>
    <w:rPr>
      <w:rFonts w:ascii="Arial" w:eastAsia="MS Mincho" w:hAnsi="Arial" w:cs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153"/>
    <w:rPr>
      <w:rFonts w:ascii="Tahoma" w:eastAsia="MS Mincho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B045D"/>
    <w:pPr>
      <w:autoSpaceDE/>
      <w:autoSpaceDN/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5B0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5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Aluno\Desktop\GRAFICOS%20OK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Aluno\Desktop\GRAFICOS%20OK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Aluno\Desktop\GRAFICOS%20OK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Aluno\Desktop\GRAFICOS%20OK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C:\Users\Aluno\Desktop\GRAFICOS%20OK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Aluno\Desktop\GRAFICOS%20O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[GRAFICOS OK.xlsx]GRAFICOS !Tabela dinâmica5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RENDA PER CAPITA</a:t>
            </a:r>
          </a:p>
          <a:p>
            <a:pPr>
              <a:defRPr/>
            </a:pPr>
            <a:endParaRPr lang="pt-B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pattFill prst="pct5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pattFill prst="pct25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  <c:pivotFmt>
        <c:idx val="2"/>
        <c:spPr>
          <a:pattFill prst="dkUpDiag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  <c:pivotFmt>
        <c:idx val="3"/>
        <c:spPr>
          <a:pattFill prst="dkVert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  <c:pivotFmt>
        <c:idx val="4"/>
        <c:spPr>
          <a:pattFill prst="zigZag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  <c:pivotFmt>
        <c:idx val="5"/>
        <c:spPr>
          <a:pattFill prst="pct5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pattFill prst="pct25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  <c:pivotFmt>
        <c:idx val="7"/>
        <c:spPr>
          <a:pattFill prst="dkUpDiag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  <c:pivotFmt>
        <c:idx val="8"/>
        <c:spPr>
          <a:pattFill prst="dkVert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  <c:pivotFmt>
        <c:idx val="9"/>
        <c:spPr>
          <a:pattFill prst="zigZag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  <c:pivotFmt>
        <c:idx val="10"/>
        <c:spPr>
          <a:pattFill prst="pct5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pattFill prst="pct25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  <c:pivotFmt>
        <c:idx val="12"/>
        <c:spPr>
          <a:pattFill prst="dkUpDiag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  <c:pivotFmt>
        <c:idx val="13"/>
        <c:spPr>
          <a:pattFill prst="dkVert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  <c:pivotFmt>
        <c:idx val="14"/>
        <c:spPr>
          <a:pattFill prst="zigZag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'GRAFICOS '!$B$65</c:f>
              <c:strCache>
                <c:ptCount val="1"/>
                <c:pt idx="0">
                  <c:v>Total</c:v>
                </c:pt>
              </c:strCache>
            </c:strRef>
          </c:tx>
          <c:spPr>
            <a:pattFill prst="pct5">
              <a:fgClr>
                <a:srgbClr val="0070C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25">
                <a:fgClr>
                  <a:srgbClr val="0070C0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pattFill prst="dkUpDiag">
                <a:fgClr>
                  <a:srgbClr val="0070C0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pattFill prst="dkVert">
                <a:fgClr>
                  <a:srgbClr val="0070C0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pattFill prst="zigZag">
                <a:fgClr>
                  <a:srgbClr val="0070C0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'GRAFICOS '!$A$66:$A$70</c:f>
              <c:strCache>
                <c:ptCount val="4"/>
                <c:pt idx="0">
                  <c:v>1 A 3</c:v>
                </c:pt>
                <c:pt idx="1">
                  <c:v>4 A 6</c:v>
                </c:pt>
                <c:pt idx="2">
                  <c:v>ACIMA DE 6</c:v>
                </c:pt>
                <c:pt idx="3">
                  <c:v>SEM RENDA</c:v>
                </c:pt>
              </c:strCache>
            </c:strRef>
          </c:cat>
          <c:val>
            <c:numRef>
              <c:f>'GRAFICOS '!$B$66:$B$70</c:f>
              <c:numCache>
                <c:formatCode>0%</c:formatCode>
                <c:ptCount val="4"/>
                <c:pt idx="0">
                  <c:v>0.6</c:v>
                </c:pt>
                <c:pt idx="1">
                  <c:v>0.22</c:v>
                </c:pt>
                <c:pt idx="2">
                  <c:v>0.14000000000000001</c:v>
                </c:pt>
                <c:pt idx="3">
                  <c:v>0.04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323734928"/>
        <c:axId val="-323732208"/>
      </c:barChart>
      <c:catAx>
        <c:axId val="-323734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323732208"/>
        <c:crosses val="autoZero"/>
        <c:auto val="1"/>
        <c:lblAlgn val="ctr"/>
        <c:lblOffset val="100"/>
        <c:noMultiLvlLbl val="0"/>
      </c:catAx>
      <c:valAx>
        <c:axId val="-32373220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-323734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[GRAFICOS OK.xlsx]GRAFICOS !Tabela dinâmica6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Período de graduação (%)</a:t>
            </a:r>
          </a:p>
          <a:p>
            <a:pPr>
              <a:defRPr/>
            </a:pPr>
            <a:endParaRPr lang="en-US"/>
          </a:p>
        </c:rich>
      </c:tx>
      <c:layout>
        <c:manualLayout>
          <c:xMode val="edge"/>
          <c:yMode val="edge"/>
          <c:x val="0.15051618547681539"/>
          <c:y val="9.53382910469524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pattFill prst="pct5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pattFill prst="pct5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  <c:pivotFmt>
        <c:idx val="2"/>
        <c:spPr>
          <a:pattFill prst="pct25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  <c:pivotFmt>
        <c:idx val="3"/>
        <c:spPr>
          <a:pattFill prst="pct40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  <c:pivotFmt>
        <c:idx val="4"/>
        <c:spPr>
          <a:pattFill prst="dkDnDiag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  <c:pivotFmt>
        <c:idx val="5"/>
        <c:spPr>
          <a:pattFill prst="pct80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  <c:pivotFmt>
        <c:idx val="6"/>
        <c:spPr>
          <a:pattFill prst="pct5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pattFill prst="pct25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  <c:pivotFmt>
        <c:idx val="8"/>
        <c:spPr>
          <a:pattFill prst="pct40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  <c:pivotFmt>
        <c:idx val="9"/>
        <c:spPr>
          <a:pattFill prst="dkDnDiag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  <c:pivotFmt>
        <c:idx val="10"/>
        <c:spPr>
          <a:pattFill prst="pct80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  <c:pivotFmt>
        <c:idx val="11"/>
        <c:spPr>
          <a:pattFill prst="pct5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pattFill prst="pct25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  <c:pivotFmt>
        <c:idx val="13"/>
        <c:spPr>
          <a:pattFill prst="pct40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  <c:pivotFmt>
        <c:idx val="14"/>
        <c:spPr>
          <a:pattFill prst="dkDnDiag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  <c:pivotFmt>
        <c:idx val="15"/>
        <c:spPr>
          <a:pattFill prst="pct80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'GRAFICOS '!$B$74</c:f>
              <c:strCache>
                <c:ptCount val="1"/>
                <c:pt idx="0">
                  <c:v>Total</c:v>
                </c:pt>
              </c:strCache>
            </c:strRef>
          </c:tx>
          <c:spPr>
            <a:pattFill prst="pct5">
              <a:fgClr>
                <a:srgbClr val="0070C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pattFill prst="pct25">
                <a:fgClr>
                  <a:srgbClr val="0070C0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pattFill prst="pct40">
                <a:fgClr>
                  <a:srgbClr val="0070C0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pattFill prst="dkDnDiag">
                <a:fgClr>
                  <a:srgbClr val="0070C0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pattFill prst="pct80">
                <a:fgClr>
                  <a:srgbClr val="0070C0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'GRAFICOS '!$A$75:$A$80</c:f>
              <c:strCache>
                <c:ptCount val="5"/>
                <c:pt idx="0">
                  <c:v>1° ANO</c:v>
                </c:pt>
                <c:pt idx="1">
                  <c:v>2° ANO</c:v>
                </c:pt>
                <c:pt idx="2">
                  <c:v>3° ANO</c:v>
                </c:pt>
                <c:pt idx="3">
                  <c:v>4° ANO</c:v>
                </c:pt>
                <c:pt idx="4">
                  <c:v>FORMADO</c:v>
                </c:pt>
              </c:strCache>
            </c:strRef>
          </c:cat>
          <c:val>
            <c:numRef>
              <c:f>'GRAFICOS '!$B$75:$B$80</c:f>
              <c:numCache>
                <c:formatCode>0%</c:formatCode>
                <c:ptCount val="5"/>
                <c:pt idx="0">
                  <c:v>0.08</c:v>
                </c:pt>
                <c:pt idx="1">
                  <c:v>0.14000000000000001</c:v>
                </c:pt>
                <c:pt idx="2">
                  <c:v>0.14000000000000001</c:v>
                </c:pt>
                <c:pt idx="3">
                  <c:v>0.16</c:v>
                </c:pt>
                <c:pt idx="4">
                  <c:v>0.48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323733840"/>
        <c:axId val="-323727856"/>
      </c:barChart>
      <c:catAx>
        <c:axId val="-323733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323727856"/>
        <c:crosses val="autoZero"/>
        <c:auto val="1"/>
        <c:lblAlgn val="ctr"/>
        <c:lblOffset val="100"/>
        <c:noMultiLvlLbl val="0"/>
      </c:catAx>
      <c:valAx>
        <c:axId val="-32372785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-323733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[GRAFICOS OK.xlsx]GRAFICOS !Tabela dinâmica7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Percentual</a:t>
            </a:r>
            <a:r>
              <a:rPr lang="en-US" sz="1200" baseline="0"/>
              <a:t> dos entrevistados que já trabalham na área de atuação</a:t>
            </a:r>
          </a:p>
          <a:p>
            <a:pPr>
              <a:defRPr/>
            </a:pPr>
            <a:endParaRPr lang="en-US"/>
          </a:p>
        </c:rich>
      </c:tx>
      <c:layout>
        <c:manualLayout>
          <c:xMode val="edge"/>
          <c:yMode val="edge"/>
          <c:x val="0.18165480237479539"/>
          <c:y val="4.93830271216097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pattFill prst="pct5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  <c:pivotFmt>
        <c:idx val="2"/>
        <c:spPr>
          <a:pattFill prst="pct25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pattFill prst="pct5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  <c:pivotFmt>
        <c:idx val="5"/>
        <c:spPr>
          <a:pattFill prst="pct25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pattFill prst="pct5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  <c:pivotFmt>
        <c:idx val="8"/>
        <c:spPr>
          <a:pattFill prst="pct25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'GRAFICOS '!$B$98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">
                <a:fgClr>
                  <a:srgbClr val="0070C0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pattFill prst="pct25">
                <a:fgClr>
                  <a:srgbClr val="0070C0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'GRAFICOS '!$A$99:$A$101</c:f>
              <c:strCache>
                <c:ptCount val="2"/>
                <c:pt idx="0">
                  <c:v>Não</c:v>
                </c:pt>
                <c:pt idx="1">
                  <c:v>Sim</c:v>
                </c:pt>
              </c:strCache>
            </c:strRef>
          </c:cat>
          <c:val>
            <c:numRef>
              <c:f>'GRAFICOS '!$B$99:$B$101</c:f>
              <c:numCache>
                <c:formatCode>0%</c:formatCode>
                <c:ptCount val="2"/>
                <c:pt idx="0">
                  <c:v>0.28000000000000003</c:v>
                </c:pt>
                <c:pt idx="1">
                  <c:v>0.72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323733296"/>
        <c:axId val="-323731664"/>
      </c:barChart>
      <c:catAx>
        <c:axId val="-323733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323731664"/>
        <c:crosses val="autoZero"/>
        <c:auto val="1"/>
        <c:lblAlgn val="ctr"/>
        <c:lblOffset val="100"/>
        <c:noMultiLvlLbl val="0"/>
      </c:catAx>
      <c:valAx>
        <c:axId val="-32373166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-323733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[GRAFICOS OK.xlsx]GRAFICOS !Tabela dinâmica8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Percentual dos entrevistados</a:t>
            </a:r>
            <a:r>
              <a:rPr lang="en-US" sz="1200" baseline="0"/>
              <a:t> que trabalham formalmente, informalmente ou não trabalham</a:t>
            </a:r>
            <a:endParaRPr lang="en-US" sz="1200"/>
          </a:p>
        </c:rich>
      </c:tx>
      <c:layout>
        <c:manualLayout>
          <c:xMode val="edge"/>
          <c:yMode val="edge"/>
          <c:x val="0.10613888888888888"/>
          <c:y val="4.99052201808107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pattFill prst="pct5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pattFill prst="pct30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  <c:pivotFmt>
        <c:idx val="2"/>
        <c:spPr>
          <a:pattFill prst="pct70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  <c:pivotFmt>
        <c:idx val="3"/>
        <c:spPr>
          <a:pattFill prst="pct5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pattFill prst="pct30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  <c:pivotFmt>
        <c:idx val="5"/>
        <c:spPr>
          <a:pattFill prst="pct70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  <c:pivotFmt>
        <c:idx val="6"/>
        <c:spPr>
          <a:pattFill prst="pct5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pattFill prst="pct30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  <c:pivotFmt>
        <c:idx val="8"/>
        <c:spPr>
          <a:pattFill prst="pct70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'GRAFICOS '!$C$126</c:f>
              <c:strCache>
                <c:ptCount val="1"/>
                <c:pt idx="0">
                  <c:v>Total</c:v>
                </c:pt>
              </c:strCache>
            </c:strRef>
          </c:tx>
          <c:spPr>
            <a:pattFill prst="pct5">
              <a:fgClr>
                <a:srgbClr val="0070C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pattFill prst="pct30">
                <a:fgClr>
                  <a:srgbClr val="0070C0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pattFill prst="pct70">
                <a:fgClr>
                  <a:srgbClr val="0070C0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'GRAFICOS '!$B$127:$B$130</c:f>
              <c:strCache>
                <c:ptCount val="3"/>
                <c:pt idx="0">
                  <c:v>Formalmente</c:v>
                </c:pt>
                <c:pt idx="1">
                  <c:v>Informalmente</c:v>
                </c:pt>
                <c:pt idx="2">
                  <c:v>Não Trabalho</c:v>
                </c:pt>
              </c:strCache>
            </c:strRef>
          </c:cat>
          <c:val>
            <c:numRef>
              <c:f>'GRAFICOS '!$C$127:$C$130</c:f>
              <c:numCache>
                <c:formatCode>0%</c:formatCode>
                <c:ptCount val="3"/>
                <c:pt idx="0">
                  <c:v>0.5</c:v>
                </c:pt>
                <c:pt idx="1">
                  <c:v>0.3</c:v>
                </c:pt>
                <c:pt idx="2">
                  <c:v>0.2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323739280"/>
        <c:axId val="-323730032"/>
      </c:barChart>
      <c:catAx>
        <c:axId val="-323739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323730032"/>
        <c:crosses val="autoZero"/>
        <c:auto val="1"/>
        <c:lblAlgn val="ctr"/>
        <c:lblOffset val="100"/>
        <c:noMultiLvlLbl val="0"/>
      </c:catAx>
      <c:valAx>
        <c:axId val="-32373003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-323739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[GRAFICOS OK.xlsx]GRAFICOS !Tabela dinâmica9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Percentual dos entrevistados que</a:t>
            </a:r>
            <a:r>
              <a:rPr lang="en-US" sz="1100" baseline="0"/>
              <a:t> afirmaram conhecer (ou não) aplicativos de contratação de serviços ? (uber, getninjas, 99 taxi etc..)</a:t>
            </a:r>
            <a:endParaRPr lang="en-US" sz="1100"/>
          </a:p>
        </c:rich>
      </c:tx>
      <c:layout>
        <c:manualLayout>
          <c:xMode val="edge"/>
          <c:yMode val="edge"/>
          <c:x val="0.10242599421907704"/>
          <c:y val="2.57648953301127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pattFill prst="pct5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  <c:pivotFmt>
        <c:idx val="2"/>
        <c:spPr>
          <a:pattFill prst="pct30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pattFill prst="pct5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  <c:pivotFmt>
        <c:idx val="5"/>
        <c:spPr>
          <a:pattFill prst="pct30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pattFill prst="pct5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  <c:pivotFmt>
        <c:idx val="8"/>
        <c:spPr>
          <a:pattFill prst="pct30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'GRAFICOS '!$B$140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">
                <a:fgClr>
                  <a:srgbClr val="0070C0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pattFill prst="pct30">
                <a:fgClr>
                  <a:srgbClr val="0070C0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'GRAFICOS '!$A$141:$A$143</c:f>
              <c:strCache>
                <c:ptCount val="2"/>
                <c:pt idx="0">
                  <c:v>Não</c:v>
                </c:pt>
                <c:pt idx="1">
                  <c:v>Sim</c:v>
                </c:pt>
              </c:strCache>
            </c:strRef>
          </c:cat>
          <c:val>
            <c:numRef>
              <c:f>'GRAFICOS '!$B$141:$B$143</c:f>
              <c:numCache>
                <c:formatCode>0%</c:formatCode>
                <c:ptCount val="2"/>
                <c:pt idx="0">
                  <c:v>0.14000000000000001</c:v>
                </c:pt>
                <c:pt idx="1">
                  <c:v>0.86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323737648"/>
        <c:axId val="-323737104"/>
      </c:barChart>
      <c:catAx>
        <c:axId val="-323737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323737104"/>
        <c:crosses val="autoZero"/>
        <c:auto val="1"/>
        <c:lblAlgn val="ctr"/>
        <c:lblOffset val="100"/>
        <c:noMultiLvlLbl val="0"/>
      </c:catAx>
      <c:valAx>
        <c:axId val="-32373710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-323737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[GRAFICOS OK.xlsx]GRAFICOS !Tabela dinâmica10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Percentual</a:t>
            </a:r>
            <a:r>
              <a:rPr lang="en-US" sz="1100" baseline="0"/>
              <a:t> dos </a:t>
            </a:r>
            <a:r>
              <a:rPr lang="en-US" sz="11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entrevistados  que </a:t>
            </a:r>
            <a:r>
              <a:rPr lang="en-US" sz="1100" b="0" i="0" u="none" strike="noStrike" kern="1200" cap="none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gostariam(ou não) de se vincular a uma plataforma de contratação de serviços</a:t>
            </a:r>
          </a:p>
        </c:rich>
      </c:tx>
      <c:layout>
        <c:manualLayout>
          <c:xMode val="edge"/>
          <c:yMode val="edge"/>
          <c:x val="0.15722731906218146"/>
          <c:y val="1.99004975124378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pattFill prst="pct5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pattFill prst="pct30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  <c:pivotFmt>
        <c:idx val="2"/>
        <c:spPr>
          <a:pattFill prst="pct5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pattFill prst="pct30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  <c:pivotFmt>
        <c:idx val="4"/>
        <c:spPr>
          <a:pattFill prst="pct5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pattFill prst="pct30">
            <a:fgClr>
              <a:srgbClr val="0070C0"/>
            </a:fgClr>
            <a:bgClr>
              <a:schemeClr val="bg1"/>
            </a:bgClr>
          </a:pattFill>
          <a:ln>
            <a:noFill/>
          </a:ln>
          <a:effectLst/>
        </c:spP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'GRAFICOS '!$C$171</c:f>
              <c:strCache>
                <c:ptCount val="1"/>
                <c:pt idx="0">
                  <c:v>Total</c:v>
                </c:pt>
              </c:strCache>
            </c:strRef>
          </c:tx>
          <c:spPr>
            <a:pattFill prst="pct5">
              <a:fgClr>
                <a:srgbClr val="0070C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pattFill prst="pct30">
                <a:fgClr>
                  <a:srgbClr val="0070C0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'GRAFICOS '!$B$172:$B$174</c:f>
              <c:strCache>
                <c:ptCount val="2"/>
                <c:pt idx="0">
                  <c:v>Não</c:v>
                </c:pt>
                <c:pt idx="1">
                  <c:v>Sim</c:v>
                </c:pt>
              </c:strCache>
            </c:strRef>
          </c:cat>
          <c:val>
            <c:numRef>
              <c:f>'GRAFICOS '!$C$172:$C$174</c:f>
              <c:numCache>
                <c:formatCode>0%</c:formatCode>
                <c:ptCount val="2"/>
                <c:pt idx="0">
                  <c:v>0.12</c:v>
                </c:pt>
                <c:pt idx="1">
                  <c:v>0.88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324368048"/>
        <c:axId val="-324358800"/>
      </c:barChart>
      <c:catAx>
        <c:axId val="-324368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324358800"/>
        <c:crosses val="autoZero"/>
        <c:auto val="1"/>
        <c:lblAlgn val="ctr"/>
        <c:lblOffset val="100"/>
        <c:noMultiLvlLbl val="0"/>
      </c:catAx>
      <c:valAx>
        <c:axId val="-32435880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-324368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2705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Thaynara</dc:creator>
  <cp:lastModifiedBy>Thaynara</cp:lastModifiedBy>
  <cp:revision>2</cp:revision>
  <dcterms:created xsi:type="dcterms:W3CDTF">2019-11-09T21:05:00Z</dcterms:created>
  <dcterms:modified xsi:type="dcterms:W3CDTF">2019-11-09T21:05:00Z</dcterms:modified>
</cp:coreProperties>
</file>