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8C" w:rsidRPr="00B36C8C" w:rsidRDefault="00B36C8C" w:rsidP="00B36C8C">
      <w:pPr>
        <w:suppressLineNumbers/>
        <w:spacing w:line="240" w:lineRule="auto"/>
        <w:jc w:val="center"/>
        <w:rPr>
          <w:rFonts w:ascii="Times New Roman" w:hAnsi="Times New Roman" w:cs="Times New Roman"/>
          <w:b/>
        </w:rPr>
      </w:pPr>
      <w:r w:rsidRPr="00B36C8C">
        <w:rPr>
          <w:rFonts w:ascii="Times New Roman" w:hAnsi="Times New Roman" w:cs="Times New Roman"/>
          <w:b/>
        </w:rPr>
        <w:t>A EDUCAÇÃO NUTRICIONAL COMO TEMA TRANSVERSAL DO CURRÍCULO DA EDUCAÇÃO INFANTIL: PRÁTICAS APOIADAS NAS CULTURAS DA INFÂNCIA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5B51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Lívia Bernardes Rodrigues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</w:p>
    <w:p w:rsidR="005B5133" w:rsidRPr="005B5133" w:rsidRDefault="005B5133" w:rsidP="00B36C8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594633" w:rsidRPr="00B77979" w:rsidRDefault="005C1AF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B77979">
        <w:rPr>
          <w:rFonts w:ascii="Times New Roman" w:eastAsia="Times New Roman" w:hAnsi="Times New Roman" w:cs="Times New Roman"/>
          <w:b/>
          <w:color w:val="auto"/>
        </w:rPr>
        <w:t>EIXO TEMÁTICO:</w:t>
      </w:r>
      <w:r w:rsidRPr="00B77979">
        <w:rPr>
          <w:rFonts w:ascii="Times New Roman" w:eastAsia="Times New Roman" w:hAnsi="Times New Roman" w:cs="Times New Roman"/>
          <w:color w:val="auto"/>
        </w:rPr>
        <w:t xml:space="preserve"> </w:t>
      </w:r>
      <w:r w:rsidR="005B5133" w:rsidRPr="00B77979">
        <w:rPr>
          <w:rFonts w:ascii="Times New Roman" w:eastAsia="Times New Roman" w:hAnsi="Times New Roman" w:cs="Times New Roman"/>
          <w:color w:val="auto"/>
        </w:rPr>
        <w:t xml:space="preserve">IX Participação das crianças em pesquisas e na gestão institucional </w:t>
      </w:r>
    </w:p>
    <w:p w:rsidR="00594633" w:rsidRPr="00B77979" w:rsidRDefault="00594633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594633" w:rsidRPr="00B77979" w:rsidRDefault="005C1AFB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B77979">
        <w:rPr>
          <w:rFonts w:ascii="Times New Roman" w:eastAsia="Times New Roman" w:hAnsi="Times New Roman" w:cs="Times New Roman"/>
          <w:b/>
          <w:color w:val="auto"/>
        </w:rPr>
        <w:t>RESUMO</w:t>
      </w:r>
    </w:p>
    <w:p w:rsidR="00690CFD" w:rsidRDefault="00690CFD" w:rsidP="000A2259">
      <w:pPr>
        <w:spacing w:line="240" w:lineRule="auto"/>
        <w:rPr>
          <w:rFonts w:ascii="Times New Roman" w:hAnsi="Times New Roman" w:cs="Times New Roman"/>
        </w:rPr>
      </w:pPr>
      <w:r w:rsidRPr="00646DBA">
        <w:rPr>
          <w:rFonts w:ascii="Times New Roman" w:hAnsi="Times New Roman" w:cs="Times New Roman"/>
        </w:rPr>
        <w:t xml:space="preserve">Ao avaliarmos o cenário da infância contemporânea, do ponto de vista da saúde, </w:t>
      </w:r>
      <w:r>
        <w:rPr>
          <w:rFonts w:ascii="Times New Roman" w:hAnsi="Times New Roman" w:cs="Times New Roman"/>
        </w:rPr>
        <w:t xml:space="preserve">desdobramentos no campo das políticas públicas se deram. Assim, em 16 de maio de 2018, a Lei Nº 13.666, alterou a Lei de Diretrizes e Bases da Educação Nacional – Lei Nº 9.394, de 20 de dezembro de 1996 – incluindo, então, a Educação Alimentar e Nutricional como tema transversal no currículo escolar. Desenvolvida com crianças da etapa I de uma instituição escolar, concluímos </w:t>
      </w:r>
      <w:r w:rsidRPr="00646DBA">
        <w:rPr>
          <w:rFonts w:ascii="Times New Roman" w:hAnsi="Times New Roman" w:cs="Times New Roman"/>
        </w:rPr>
        <w:t>que articular as áreas da nutrição x educação x infância é um significativo caminho na construção da identidade alimentar das crianças</w:t>
      </w:r>
      <w:r>
        <w:rPr>
          <w:rFonts w:ascii="Times New Roman" w:hAnsi="Times New Roman" w:cs="Times New Roman"/>
        </w:rPr>
        <w:t>.</w:t>
      </w:r>
    </w:p>
    <w:p w:rsidR="00594633" w:rsidRPr="00B77979" w:rsidRDefault="005C1AFB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B77979">
        <w:rPr>
          <w:rFonts w:ascii="Times New Roman" w:eastAsia="Times New Roman" w:hAnsi="Times New Roman" w:cs="Times New Roman"/>
          <w:color w:val="auto"/>
        </w:rPr>
        <w:t xml:space="preserve">Palavras-Chave: </w:t>
      </w:r>
      <w:r w:rsidR="00690CFD">
        <w:rPr>
          <w:rFonts w:ascii="Times New Roman" w:hAnsi="Times New Roman" w:cs="Times New Roman"/>
        </w:rPr>
        <w:t>educação nutricional, sociologia da infância, culturas da infância, educação,</w:t>
      </w:r>
      <w:r w:rsidR="00690CFD" w:rsidRPr="00646DBA">
        <w:rPr>
          <w:rFonts w:ascii="Times New Roman" w:hAnsi="Times New Roman" w:cs="Times New Roman"/>
        </w:rPr>
        <w:t xml:space="preserve"> nutrição.</w:t>
      </w:r>
    </w:p>
    <w:p w:rsidR="00594633" w:rsidRPr="00B77979" w:rsidRDefault="0059463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594633" w:rsidRPr="00B77979" w:rsidRDefault="005C1AFB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B77979">
        <w:rPr>
          <w:rFonts w:ascii="Times New Roman" w:eastAsia="Times New Roman" w:hAnsi="Times New Roman" w:cs="Times New Roman"/>
          <w:b/>
          <w:color w:val="auto"/>
        </w:rPr>
        <w:t>INTRODUÇÃO</w:t>
      </w:r>
    </w:p>
    <w:p w:rsidR="00690CFD" w:rsidRPr="00451859" w:rsidRDefault="00690CFD" w:rsidP="00690CFD">
      <w:pPr>
        <w:spacing w:after="0" w:line="360" w:lineRule="auto"/>
        <w:rPr>
          <w:rFonts w:ascii="Times New Roman" w:hAnsi="Times New Roman" w:cs="Times New Roman"/>
        </w:rPr>
      </w:pPr>
      <w:r w:rsidRPr="00451859">
        <w:rPr>
          <w:rFonts w:ascii="Times New Roman" w:hAnsi="Times New Roman" w:cs="Times New Roman"/>
        </w:rPr>
        <w:t>No Brasil, o fim da década de 90 foi marcado</w:t>
      </w:r>
      <w:r>
        <w:rPr>
          <w:rFonts w:ascii="Times New Roman" w:hAnsi="Times New Roman" w:cs="Times New Roman"/>
        </w:rPr>
        <w:t xml:space="preserve"> </w:t>
      </w:r>
      <w:r w:rsidRPr="00451859">
        <w:rPr>
          <w:rFonts w:ascii="Times New Roman" w:hAnsi="Times New Roman" w:cs="Times New Roman"/>
        </w:rPr>
        <w:t>por um processo denominado transição nutricional, caracterizada pela redução dos índices de desnutrição e aumento do sobrepeso e da</w:t>
      </w:r>
      <w:r>
        <w:rPr>
          <w:rFonts w:ascii="Times New Roman" w:hAnsi="Times New Roman" w:cs="Times New Roman"/>
        </w:rPr>
        <w:t xml:space="preserve"> </w:t>
      </w:r>
      <w:r w:rsidRPr="00451859">
        <w:rPr>
          <w:rFonts w:ascii="Times New Roman" w:hAnsi="Times New Roman" w:cs="Times New Roman"/>
        </w:rPr>
        <w:t>obesidade (BRASIL, 2013).</w:t>
      </w:r>
      <w:r w:rsidR="00104CF5">
        <w:rPr>
          <w:rFonts w:ascii="Times New Roman" w:hAnsi="Times New Roman" w:cs="Times New Roman"/>
        </w:rPr>
        <w:t xml:space="preserve"> </w:t>
      </w:r>
      <w:r w:rsidRPr="00451859">
        <w:rPr>
          <w:rFonts w:ascii="Times New Roman" w:hAnsi="Times New Roman" w:cs="Times New Roman"/>
        </w:rPr>
        <w:t>A progressão deste processo tem sido detectada não só na população adulta, mas também em crianças e adolescentes (FAGIOLI, 2007).</w:t>
      </w:r>
      <w:r w:rsidR="00104CF5">
        <w:rPr>
          <w:rFonts w:ascii="Times New Roman" w:hAnsi="Times New Roman" w:cs="Times New Roman"/>
        </w:rPr>
        <w:t xml:space="preserve"> </w:t>
      </w:r>
      <w:r w:rsidRPr="00451859">
        <w:rPr>
          <w:rFonts w:ascii="Times New Roman" w:hAnsi="Times New Roman" w:cs="Times New Roman"/>
        </w:rPr>
        <w:t xml:space="preserve">Vários autores chamam a atenção para os altos índices de obesidade na infância (SOQUEIRO, 2013; VIEIRA, CARVALHO, 2015; BONÉ, BONITO, CALDEIRA, 2015; GARISO, 2014; COSTA, 2012). Corroborando com tais dados, o Ministério da Saúde através do Guia Alimentar para a População Brasileira, aponta que, no Brasil, uma em cada três crianças são acometidas com excesso de peso (BRASIL, 2014). Isso evidencia que a situação de excesso de peso nessa faixa etária atinge, atualmente, proporções preocupantes que colocam a saúde das crianças em “crise”, não somente devido aos efeitos psicológicos prejudiciais, mas também pelo impacto negativo na qualidade de vida. Assim, é evidente que o enfrentamento do cenário atual no que diz respeito aos problemas associados à alimentação e nutrição tem, na promoção de práticas alimentares saudáveis, sua estratégia vital. Assim, pensar as </w:t>
      </w:r>
      <w:r w:rsidRPr="00451859">
        <w:rPr>
          <w:rFonts w:ascii="Times New Roman" w:hAnsi="Times New Roman" w:cs="Times New Roman"/>
        </w:rPr>
        <w:lastRenderedPageBreak/>
        <w:t>práticas alimentares saudáveis deve levar em consideração o fato de que a criança, hoje, precisa ser compreendida como um sujeito histórico e de direitos que, nas interações, relações e práticas cotidianas que vivencia, constrói sua identidade pessoal e coletiva, através das culturas da infância que vivencia – brinca, imagina, fantasia, deseja, aprende, observa, experimenta, narra, questiona e constrói sentidos sobre a natureza e a sociedade, produzindo cultura (BRASIL, 2009). Nesse contexto, a educação infantil tem grande importância na promoção de tais práticas, uma vez que deve ter o papel de ver e escutar de forma atenta e interessada o gesto das crianças e o modo como elas interpretam o que fazem, o que sentem e o que dizem. Dessa maneira, a infância deve ser compreendida como uma construção social, ancorada na história e marcada pelo tempo (SARMENTO, 2013) onde as crianças são atores socias dotados de pensamento crítico e reflexivo e, por esse motivo, chamam a atenção p</w:t>
      </w:r>
      <w:r w:rsidR="001C0E03">
        <w:rPr>
          <w:rFonts w:ascii="Times New Roman" w:hAnsi="Times New Roman" w:cs="Times New Roman"/>
        </w:rPr>
        <w:t>ara suas ações como prova de si</w:t>
      </w:r>
      <w:r w:rsidRPr="00451859">
        <w:rPr>
          <w:rFonts w:ascii="Times New Roman" w:hAnsi="Times New Roman" w:cs="Times New Roman"/>
        </w:rPr>
        <w:t>. Por esse motivo, as crianças devem ser entendidas como um grupo humano específico, em razão da sua natureza e da sua relação com os adultos (ARIÈS, 1981).</w:t>
      </w:r>
    </w:p>
    <w:p w:rsidR="00690CFD" w:rsidRPr="00451859" w:rsidRDefault="00104CF5" w:rsidP="00690C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Sabendo a importância que da escola no que tange à formação de hábitos para a vida, ela deve </w:t>
      </w:r>
      <w:r w:rsidR="00690CFD" w:rsidRPr="00451859">
        <w:rPr>
          <w:rFonts w:ascii="Times New Roman" w:hAnsi="Times New Roman" w:cs="Times New Roman"/>
          <w:iCs/>
        </w:rPr>
        <w:t xml:space="preserve">proporcionar um ambiente favorável à vivência de saberes e sabores, contribuindo para a construção de uma relação saudável do educando com o alimento. </w:t>
      </w:r>
      <w:r w:rsidR="00690CFD" w:rsidRPr="00451859">
        <w:rPr>
          <w:rFonts w:ascii="Times New Roman" w:hAnsi="Times New Roman" w:cs="Times New Roman"/>
        </w:rPr>
        <w:t>Por esse motivo, trabalhar a educação nutricional no ambiente escolar dentro dos contextos das culturas da infância é fundamental para estimular a formação de hábitos alimentares saudáveis. Vale ressaltar que a infância é a melhor fase para modificar hábitos alimentares incorretos com sucesso, devido à grande facilidade em assimilar, seguir exemplos e desenvolver atitudes.</w:t>
      </w:r>
    </w:p>
    <w:p w:rsidR="00690CFD" w:rsidRDefault="00690CFD" w:rsidP="00690CFD">
      <w:pPr>
        <w:spacing w:after="0" w:line="360" w:lineRule="auto"/>
        <w:ind w:right="67"/>
      </w:pPr>
      <w:r>
        <w:rPr>
          <w:rFonts w:ascii="Times New Roman" w:eastAsia="Times New Roman" w:hAnsi="Times New Roman" w:cs="Times New Roman"/>
        </w:rPr>
        <w:t>Dessa maneira, para que práticas de E</w:t>
      </w:r>
      <w:r w:rsidR="00B823CD">
        <w:rPr>
          <w:rFonts w:ascii="Times New Roman" w:eastAsia="Times New Roman" w:hAnsi="Times New Roman" w:cs="Times New Roman"/>
        </w:rPr>
        <w:t>ducação Alimentar e Nutricional (E</w:t>
      </w:r>
      <w:r>
        <w:rPr>
          <w:rFonts w:ascii="Times New Roman" w:eastAsia="Times New Roman" w:hAnsi="Times New Roman" w:cs="Times New Roman"/>
        </w:rPr>
        <w:t>AN</w:t>
      </w:r>
      <w:r w:rsidR="00B823C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fluam é preciso que nutrição e educação se encontrem, se comuniquem e, se complementem. Assim, além do sólido conhecimento na área da ciência da nutrição, é preciso que o nutricionista desenvolva suas ações de EAN na perspectiva da Educação e esta deve ser pensada a partir do contexto social e históricos nos quais os educandos estão inseridos. Como, então, pensar Educação Infantil na contemporaneidade? É preciso questionar concepções ultrapassadas e se apropriar da concepção de criança, proposta pela Sociologia da Infância</w:t>
      </w:r>
      <w:r w:rsidR="00B823CD">
        <w:rPr>
          <w:rFonts w:ascii="Times New Roman" w:eastAsia="Times New Roman" w:hAnsi="Times New Roman" w:cs="Times New Roman"/>
        </w:rPr>
        <w:t xml:space="preserve"> (SARMENTO, 2004; CORSARO, 2011)</w:t>
      </w:r>
      <w:r>
        <w:rPr>
          <w:rFonts w:ascii="Times New Roman" w:eastAsia="Times New Roman" w:hAnsi="Times New Roman" w:cs="Times New Roman"/>
        </w:rPr>
        <w:t xml:space="preserve"> apoiando-se as práticas nas Culturas da Infância</w:t>
      </w:r>
      <w:r w:rsidR="00B823CD">
        <w:rPr>
          <w:rFonts w:ascii="Times New Roman" w:eastAsia="Times New Roman" w:hAnsi="Times New Roman" w:cs="Times New Roman"/>
        </w:rPr>
        <w:t xml:space="preserve"> (SARMENTO, 2004)</w:t>
      </w:r>
      <w:r>
        <w:rPr>
          <w:rFonts w:ascii="Times New Roman" w:eastAsia="Times New Roman" w:hAnsi="Times New Roman" w:cs="Times New Roman"/>
        </w:rPr>
        <w:t xml:space="preserve"> a fim de que as práticas não sejam equivocadas.</w:t>
      </w:r>
    </w:p>
    <w:p w:rsidR="00690CFD" w:rsidRDefault="00690CFD" w:rsidP="00BF614D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AE5E7D" w:rsidRPr="00B77979" w:rsidRDefault="0001764F" w:rsidP="00BF614D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OBJETIVO</w:t>
      </w:r>
    </w:p>
    <w:p w:rsidR="0001764F" w:rsidRPr="00510AF7" w:rsidRDefault="0001764F" w:rsidP="000176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10AF7">
        <w:rPr>
          <w:rFonts w:ascii="Times New Roman" w:hAnsi="Times New Roman" w:cs="Times New Roman"/>
        </w:rPr>
        <w:lastRenderedPageBreak/>
        <w:t>Analisar uma proposta de articulação entre nutrição, educação e infância e sua potencialidade para (re)pensar a educação nutricional na escola no contexto das culturas da infância visando a formação de hábitos alimentares saudáveis.</w:t>
      </w:r>
    </w:p>
    <w:p w:rsidR="00234950" w:rsidRDefault="00234950" w:rsidP="0084773C">
      <w:pPr>
        <w:adjustRightInd w:val="0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84773C" w:rsidRPr="00BF614D" w:rsidRDefault="0084773C" w:rsidP="0084773C">
      <w:pPr>
        <w:adjustRightInd w:val="0"/>
        <w:spacing w:line="360" w:lineRule="auto"/>
        <w:rPr>
          <w:rFonts w:ascii="Times New Roman" w:hAnsi="Times New Roman" w:cs="Times New Roman"/>
          <w:b/>
          <w:color w:val="auto"/>
        </w:rPr>
      </w:pPr>
      <w:r w:rsidRPr="00BF614D">
        <w:rPr>
          <w:rFonts w:ascii="Times New Roman" w:hAnsi="Times New Roman" w:cs="Times New Roman"/>
          <w:b/>
          <w:color w:val="auto"/>
        </w:rPr>
        <w:t>METODOLOGIA</w:t>
      </w:r>
    </w:p>
    <w:p w:rsidR="00293B86" w:rsidRDefault="0001764F" w:rsidP="0001764F">
      <w:pPr>
        <w:adjustRightInd w:val="0"/>
        <w:spacing w:line="360" w:lineRule="auto"/>
        <w:rPr>
          <w:rFonts w:ascii="Times New Roman" w:hAnsi="Times New Roman" w:cs="Times New Roman"/>
        </w:rPr>
      </w:pPr>
      <w:r w:rsidRPr="0045408C">
        <w:rPr>
          <w:rFonts w:ascii="Times New Roman" w:hAnsi="Times New Roman" w:cs="Times New Roman"/>
          <w:spacing w:val="-4"/>
        </w:rPr>
        <w:t xml:space="preserve">A presente pesquisa foi aprovada pela Plataforma Brasil sob o CAAE 86877018.0.0000.5402, sendo desenvolvida em uma </w:t>
      </w:r>
      <w:r w:rsidRPr="0045408C">
        <w:rPr>
          <w:rFonts w:ascii="Times New Roman" w:hAnsi="Times New Roman" w:cs="Times New Roman"/>
        </w:rPr>
        <w:t>Escola Municipal de Educação</w:t>
      </w:r>
      <w:r w:rsidRPr="0045408C">
        <w:rPr>
          <w:rFonts w:ascii="Times New Roman" w:hAnsi="Times New Roman" w:cs="Times New Roman"/>
          <w:spacing w:val="-4"/>
        </w:rPr>
        <w:t xml:space="preserve"> Básica, situada a noroeste do Estado de São Paulo, no mun</w:t>
      </w:r>
      <w:r w:rsidRPr="0045408C">
        <w:rPr>
          <w:rFonts w:ascii="Times New Roman" w:hAnsi="Times New Roman" w:cs="Times New Roman"/>
        </w:rPr>
        <w:t>icípio de Araçatuba</w:t>
      </w:r>
      <w:r w:rsidR="005857B8">
        <w:rPr>
          <w:rFonts w:ascii="Times New Roman" w:hAnsi="Times New Roman" w:cs="Times New Roman"/>
        </w:rPr>
        <w:t>, sendo</w:t>
      </w:r>
      <w:r w:rsidRPr="0045408C">
        <w:rPr>
          <w:rFonts w:ascii="Times New Roman" w:hAnsi="Times New Roman" w:cs="Times New Roman"/>
        </w:rPr>
        <w:t xml:space="preserve"> desenvolvida com crianças de 4 anos a 4 anos e 11 meses representadas por quatro salas de etapa I da instituição de ensino. A escolha da idade dos sujeitos da pesquisa se deu pelo fato de, nesta idade, se iniciar a busca pela independência – justificando o aumento de rejeições alimentares nesse período –, bem como, a construção dos próprios hábitos alimentares – autonomia (SBP, 2015).</w:t>
      </w:r>
    </w:p>
    <w:p w:rsidR="0001764F" w:rsidRPr="006C0F29" w:rsidRDefault="0001764F" w:rsidP="00FA0919">
      <w:pPr>
        <w:pStyle w:val="Corpodetexto"/>
        <w:spacing w:before="0"/>
        <w:ind w:left="0" w:firstLine="0"/>
      </w:pPr>
      <w:r w:rsidRPr="006C0F29">
        <w:t>Experiências anteriores (RODRIGUES, LIMA, de LIMA, 2016) influenciaram a escolha metodológica da presente pesquisa. Assim, ela buscou, por meio de intervenções práticas – ações –, transformar uma situação problema – dentro da temática central “educação nutricional e alimentar na infância”, mas definida especificamente junto aos sujeitos participantes da pesquisa em sua fase exploratória – dentro de um contexto institucional – a escola. De caráter qualitativo, a metodologia empregada no presente trabalho foi a “pesquisa-ação”, em que a ação é gerada no próprio processo de investigação.</w:t>
      </w:r>
    </w:p>
    <w:p w:rsidR="0001764F" w:rsidRDefault="0001764F" w:rsidP="00FA0919">
      <w:pPr>
        <w:pStyle w:val="Corpodetexto"/>
        <w:spacing w:before="0"/>
        <w:ind w:left="0" w:firstLine="0"/>
      </w:pPr>
      <w:r w:rsidRPr="006C0F29">
        <w:t xml:space="preserve">Lewin (1965) coloca que a pesquisa-ação consiste em um processo empírico que tem com o objetivo principal intervir na prática no sentido de provocar a transformação por meio da identificação da necessidade de mudança, bem como o levantamento de possíveis soluções. Dessa maneira, tal processo é uma ferramenta metodológica capaz de aliar teoria e prática por meio de uma ação que visa à transformação de </w:t>
      </w:r>
      <w:r w:rsidRPr="006C0F29">
        <w:rPr>
          <w:spacing w:val="2"/>
        </w:rPr>
        <w:t xml:space="preserve">uma </w:t>
      </w:r>
      <w:r w:rsidRPr="006C0F29">
        <w:t>determinada realidade. Assim, a método em questão, consiste na resolução de um problema coletivo dependente do envolvimento cooperativo ou participativo de participantes e pesquisadores, ou seja, possui caráter participativo uma vez que o envolvimento das pessoas na problemática investigada é absolutamente necessário (THIOLLENT,</w:t>
      </w:r>
      <w:r w:rsidR="00104CF5">
        <w:t xml:space="preserve"> </w:t>
      </w:r>
      <w:r w:rsidRPr="006C0F29">
        <w:t>1947).</w:t>
      </w:r>
    </w:p>
    <w:p w:rsidR="0001764F" w:rsidRDefault="0001764F" w:rsidP="00FA0919">
      <w:pPr>
        <w:pStyle w:val="Corpodetexto"/>
        <w:spacing w:before="0"/>
        <w:ind w:left="0" w:firstLine="0"/>
      </w:pPr>
      <w:r w:rsidRPr="006C0F29">
        <w:t>A partir do término da fase exploratória</w:t>
      </w:r>
      <w:r w:rsidR="005857B8">
        <w:t>, a intervenção teve início</w:t>
      </w:r>
      <w:r w:rsidRPr="006C0F29">
        <w:t xml:space="preserve">. A abordagem foi realizada por meio de práticas e vivências elaboradas a partir do eixo central – sociologia da infância e culturas da infância – com o tema estabelecido durante a construção do problema junto aos sujeitos da </w:t>
      </w:r>
      <w:r w:rsidRPr="006C0F29">
        <w:lastRenderedPageBreak/>
        <w:t xml:space="preserve">pesquisa na fase exploratória: a rejeição por alimentos de origem vegetal. </w:t>
      </w:r>
    </w:p>
    <w:p w:rsidR="00FA0919" w:rsidRDefault="00FA0919" w:rsidP="00FA0919">
      <w:pPr>
        <w:adjustRightInd w:val="0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84773C" w:rsidRDefault="0001764F" w:rsidP="00FA0919">
      <w:pPr>
        <w:adjustRightInd w:val="0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RESULTADOS E DISCUSSÃO</w:t>
      </w:r>
    </w:p>
    <w:p w:rsidR="0001764F" w:rsidRPr="0001764F" w:rsidRDefault="0001764F" w:rsidP="00FA0919">
      <w:pPr>
        <w:pStyle w:val="Corpodetexto"/>
        <w:spacing w:before="0"/>
        <w:ind w:left="0" w:firstLine="0"/>
      </w:pPr>
      <w:r w:rsidRPr="0001764F">
        <w:t>O trabalho acerca do tema girou em torno da “Casa dos Alimentos”. Sendo considerado um recurso – prático e ilustrativo – desenvolvido e muito utilizado pela Ciência da Nutrição no que diz respeito a disseminar o conhecimento científico acerca da maneira como compor – o mais saudável possível – uma dieta alimentar, visando à promoção de saúde, bem como hábitos alimentares saudáveis. Trata-se da Pirâmide dos Alimentos (PHILIPPI, 2009). Segundo Sarmento (2004) a atribuição de sentido às coisas, bem como a construção da visão de mundo pelas crianças se dá a partir do mundo do faz de conta. Assim, a fim de possibilitar às crianças a compreensão deste recurso – a Pirâmide Alimentar – no que diz respeito a alcançar o entendimento referente à função de cada grupo alimentar na construção dos hábitos alimentares dos indivíduos, a Pirâmide dos Alimentos foi intitulada – na presente pesquisa</w:t>
      </w:r>
      <w:r w:rsidR="005857B8">
        <w:t xml:space="preserve"> – como “Casa dos Alimentos”. </w:t>
      </w:r>
    </w:p>
    <w:p w:rsidR="0001764F" w:rsidRPr="0001764F" w:rsidRDefault="0001764F" w:rsidP="00FA0919">
      <w:pPr>
        <w:pStyle w:val="Corpodetexto"/>
        <w:spacing w:before="0"/>
        <w:ind w:left="0" w:firstLine="0"/>
      </w:pPr>
      <w:r w:rsidRPr="0001764F">
        <w:t xml:space="preserve">Iniciamos as atividades com a construção do telhado da grande casa. As crianças receberam grandes retângulos de papelão que, com a ajuda de pincéis, ganharam cor. Com as telhas pintadas, o telhado da “Casa dos Alimentos” se fez. </w:t>
      </w:r>
      <w:r w:rsidR="001C0E03">
        <w:t xml:space="preserve">Iniciamos o preenchimento do primeiro andar – andar azul – com muitas gotas de água. Continuando a descoberta era chegada à hora de conhecer </w:t>
      </w:r>
      <w:r w:rsidRPr="0001764F">
        <w:t>os alimentos</w:t>
      </w:r>
      <w:r w:rsidR="001C0E03">
        <w:t>-moradores</w:t>
      </w:r>
      <w:r w:rsidRPr="0001764F">
        <w:t xml:space="preserve"> do andar amarelo. </w:t>
      </w:r>
      <w:r w:rsidR="00E44B08">
        <w:t>Pão, arroz, macarrão.</w:t>
      </w:r>
      <w:r w:rsidRPr="0001764F">
        <w:t xml:space="preserve"> A fim de apresentar-lhes a </w:t>
      </w:r>
      <w:r w:rsidR="001C0E03">
        <w:t xml:space="preserve">sua </w:t>
      </w:r>
      <w:r w:rsidRPr="0001764F">
        <w:t>função</w:t>
      </w:r>
      <w:r w:rsidR="001C0E03">
        <w:t>,</w:t>
      </w:r>
      <w:r w:rsidRPr="0001764F">
        <w:t xml:space="preserve"> coloquei: “Imaginem que, cada um de vocês, é um carro, um caminhão ou uma moto”. “Eu sou o carro do Batman!” (Tito); “Eu sou um c</w:t>
      </w:r>
      <w:r w:rsidR="007C448B">
        <w:t>aminhão bem grande” (Matheus)</w:t>
      </w:r>
      <w:r w:rsidRPr="0001764F">
        <w:t xml:space="preserve"> – (Diário de Campo 1, 2018).</w:t>
      </w:r>
      <w:r w:rsidR="007C448B">
        <w:t xml:space="preserve"> </w:t>
      </w:r>
      <w:r w:rsidRPr="0001764F">
        <w:t xml:space="preserve">Continuei. “Agora que vocês já são um carro – acenava para os que se colocaram como carro –, uma moto – apontava as motos –, um ônibus e um caminhão, tenho uma pergunta: O que vocês precisam para conseguir andar?”. As palavras corriam depressa até meus ouvidos. “Roda” (Miguel); “Pneu” (Maria Fernanda); “Gasolina” (Emanuel); “Gasolina Prô... gasolina” (Sofia); “Gasolina... sem gasolina o carro não anda” (Isa) (Diário de Campo 1, 2018). A palavra gasolina se repetiu diversas vezes. Então, exclamei: “GASOLINA!” – continuei – “Para poder sair do lugar, o carro, a moto, o caminhão ou o ônibus precisam de gasolina. Nós também precisamos de gasolina e a nossa gasolina são os alimentos que moram no andar amarelo”. </w:t>
      </w:r>
    </w:p>
    <w:p w:rsidR="0001764F" w:rsidRPr="0001764F" w:rsidRDefault="0001764F" w:rsidP="000A2259">
      <w:pPr>
        <w:pStyle w:val="Corpodetexto"/>
        <w:spacing w:before="0"/>
        <w:ind w:left="0" w:firstLine="0"/>
      </w:pPr>
      <w:r w:rsidRPr="0001764F">
        <w:t xml:space="preserve">Chegamos, então, ao andar verde; andar dos alimentos reguladores. </w:t>
      </w:r>
      <w:r w:rsidR="00E44B08">
        <w:t xml:space="preserve">Tomate, abóbora, chuchu. </w:t>
      </w:r>
      <w:r w:rsidRPr="0001764F">
        <w:t xml:space="preserve">Prosseguindo, então, questionei: “Para que servem os alimentos-moradores do andar verde?”. </w:t>
      </w:r>
      <w:r w:rsidRPr="0001764F">
        <w:lastRenderedPageBreak/>
        <w:t>“Pra comer” (Athos); “Pra ficar forte” (Manu</w:t>
      </w:r>
      <w:r w:rsidR="001C0E03">
        <w:t>) –</w:t>
      </w:r>
      <w:r w:rsidRPr="0001764F">
        <w:t xml:space="preserve"> (Diário de Campo 1, 2018). Em meio a tantas respostas mecânicas, </w:t>
      </w:r>
      <w:r w:rsidR="001C0E03">
        <w:t>comecei a falar: “</w:t>
      </w:r>
      <w:r w:rsidRPr="0001764F">
        <w:t>Sabe, algumas vezes, comemos alimentos que enchem a nossa barriga de sujeira e, essa sujeira, não consegue sair da nossa barriga sozinha. Precisamos comer alguns alimen</w:t>
      </w:r>
      <w:r w:rsidR="001C0E03">
        <w:t xml:space="preserve">tos que limpem a nossa barriga. </w:t>
      </w:r>
      <w:r w:rsidRPr="0001764F">
        <w:t>Só eles conseguem varrer a sujeira. Eles varrem e a água lava. Assim, a sujeira consegue ir embora lá no nosso coco</w:t>
      </w:r>
      <w:r w:rsidR="001C0E03">
        <w:t>”</w:t>
      </w:r>
      <w:r w:rsidRPr="0001764F">
        <w:t xml:space="preserve">. </w:t>
      </w:r>
    </w:p>
    <w:p w:rsidR="0001764F" w:rsidRPr="0001764F" w:rsidRDefault="00E44B08" w:rsidP="000A2259">
      <w:pPr>
        <w:pStyle w:val="Corpodetexto"/>
        <w:spacing w:before="0"/>
        <w:ind w:left="0" w:firstLine="0"/>
      </w:pPr>
      <w:r>
        <w:t xml:space="preserve">Chegava a hora de </w:t>
      </w:r>
      <w:r w:rsidR="0001764F" w:rsidRPr="0001764F">
        <w:t xml:space="preserve">descobrirmos os alimentos-moradores do andar vermelho. </w:t>
      </w:r>
      <w:r>
        <w:t xml:space="preserve">Feijão, grão de bico, </w:t>
      </w:r>
      <w:r w:rsidR="0001764F" w:rsidRPr="0001764F">
        <w:t>ovo</w:t>
      </w:r>
      <w:r>
        <w:t xml:space="preserve">. </w:t>
      </w:r>
      <w:r w:rsidR="0001764F" w:rsidRPr="0001764F">
        <w:t>Como quem brinca de “morto ou vivo”, movimentei meu corpo do chão à cabeça, fazendo tijolos com as mãos que percorriam todo o meu corpo. Simultaneamente ao movimento, disse: “Esses alimentos são tijolinhos que constroem o nosso corpo todinho. S</w:t>
      </w:r>
      <w:r>
        <w:t xml:space="preserve">ão eles que nos fazem crescer” </w:t>
      </w:r>
      <w:r w:rsidR="0001764F" w:rsidRPr="0001764F">
        <w:t>(Diário de Campo 1, 2018).</w:t>
      </w:r>
    </w:p>
    <w:p w:rsidR="0001764F" w:rsidRPr="0001764F" w:rsidRDefault="0001764F" w:rsidP="0001764F">
      <w:pPr>
        <w:pStyle w:val="Corpodetexto"/>
        <w:spacing w:before="0"/>
        <w:ind w:left="0" w:firstLine="0"/>
      </w:pPr>
      <w:r w:rsidRPr="0001764F">
        <w:t xml:space="preserve">Representados no ápice da Pirâmide Alimentar, </w:t>
      </w:r>
      <w:r w:rsidR="000A2259">
        <w:t xml:space="preserve">estava o andar dos doces e da gordura. </w:t>
      </w:r>
      <w:r w:rsidRPr="0001764F">
        <w:t xml:space="preserve">Ao observar a agilidade com que as crianças reconheceram os alimentos-moradores do andar cinza – alimentos industrializados, de uma maneira geral – observa-se o quanto a indústria de alimento se faz mais expressiva em seus cotidianos quando comparada aos alimentos provenientes da natureza – os </w:t>
      </w:r>
      <w:r w:rsidRPr="0001764F">
        <w:rPr>
          <w:i/>
        </w:rPr>
        <w:t>in natura</w:t>
      </w:r>
      <w:r w:rsidRPr="0001764F">
        <w:t>. Dispensáveis à sobrevivência humana, os alimentos do andar cinza foram denominados “sujeiras”.</w:t>
      </w:r>
    </w:p>
    <w:p w:rsidR="00293B86" w:rsidRPr="00293B86" w:rsidRDefault="00293B86" w:rsidP="0084773C">
      <w:pPr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84773C" w:rsidRDefault="0084773C" w:rsidP="0084773C">
      <w:pPr>
        <w:adjustRightInd w:val="0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CONSIDERAÇÕES FINAIS</w:t>
      </w:r>
    </w:p>
    <w:p w:rsidR="00104CF5" w:rsidRPr="00CB32A1" w:rsidRDefault="005857B8" w:rsidP="00104CF5">
      <w:pPr>
        <w:pStyle w:val="Corpodetexto"/>
        <w:spacing w:before="0"/>
        <w:ind w:firstLine="0"/>
      </w:pPr>
      <w:r>
        <w:t>D</w:t>
      </w:r>
      <w:r w:rsidR="00104CF5" w:rsidRPr="00CB32A1">
        <w:t>iante d</w:t>
      </w:r>
      <w:r>
        <w:t xml:space="preserve">a atual situação de saúde das crianças, </w:t>
      </w:r>
      <w:r w:rsidR="00104CF5" w:rsidRPr="00CB32A1">
        <w:t>é preciso um olhar atento para a infância no que diz respeito à construção da identidade alimentar. Sanar as causas que colocaram a infância no cenário de saúde atual seria uma utopia, mas dar condições para que as crianças construam seus hábitos alimentares de maneira consciente é possível – como a presente pesquisa evidenciou. Para isso, é preciso compreender a criança como um sujeito social e de direitos, capaz de produzir cultura e, por meio da reprodução interpretativa do que vivencia e/ou experimenta transformar o contexto social no qual está inserido. Nesse sentido, buscando acessar as crianças por meio das culturas da infância, o tema – alimentação – lhes foi apresentado. Assim, na vivência e exploração do alimento e seus processos – plantio, colheita, cultivo, sementes, importância, preparação – a pesquisa caminhou. Com isso, o tema se fez significativo para os pequenos e, nos relatos dos pais e/ou responsáveis, ficou evidente a potencialidade da pesquisa devido às infinitas maneiras que as crianças reproduziram – em seus lares – interpretando – às suas maneiras – o que, na escola, foi desenvolvido.</w:t>
      </w:r>
    </w:p>
    <w:p w:rsidR="00FA0919" w:rsidRDefault="00FA0919" w:rsidP="00234950">
      <w:pPr>
        <w:adjustRightInd w:val="0"/>
        <w:spacing w:before="0" w:after="0" w:line="240" w:lineRule="auto"/>
        <w:rPr>
          <w:rFonts w:ascii="Times New Roman" w:hAnsi="Times New Roman" w:cs="Times New Roman"/>
          <w:b/>
          <w:color w:val="auto"/>
        </w:rPr>
      </w:pPr>
    </w:p>
    <w:p w:rsidR="0084773C" w:rsidRPr="0084773C" w:rsidRDefault="0084773C" w:rsidP="00FA0919">
      <w:pPr>
        <w:adjustRightInd w:val="0"/>
        <w:spacing w:before="0" w:after="0" w:line="240" w:lineRule="auto"/>
        <w:ind w:left="142" w:hanging="14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REFERÊNCIAS BIBLIOGRÁFICAS</w:t>
      </w:r>
    </w:p>
    <w:p w:rsidR="00104CF5" w:rsidRDefault="00104CF5" w:rsidP="00104CF5">
      <w:pPr>
        <w:tabs>
          <w:tab w:val="left" w:pos="5903"/>
        </w:tabs>
        <w:spacing w:after="0" w:line="240" w:lineRule="auto"/>
        <w:ind w:right="266"/>
        <w:rPr>
          <w:rFonts w:ascii="Times New Roman" w:hAnsi="Times New Roman" w:cs="Times New Roman"/>
        </w:rPr>
      </w:pPr>
      <w:r w:rsidRPr="00104CF5">
        <w:rPr>
          <w:rFonts w:ascii="Times New Roman" w:hAnsi="Times New Roman" w:cs="Times New Roman"/>
        </w:rPr>
        <w:t>ARIÈS,P.</w:t>
      </w:r>
      <w:r w:rsidR="00E44B08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História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social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da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criança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e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da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família.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In:</w:t>
      </w:r>
      <w:r w:rsidRPr="00104CF5">
        <w:rPr>
          <w:rFonts w:ascii="Times New Roman" w:hAnsi="Times New Roman" w:cs="Times New Roman"/>
          <w:u w:val="single"/>
        </w:rPr>
        <w:tab/>
      </w:r>
      <w:r w:rsidRPr="00104CF5">
        <w:rPr>
          <w:rFonts w:ascii="Times New Roman" w:hAnsi="Times New Roman" w:cs="Times New Roman"/>
        </w:rPr>
        <w:t xml:space="preserve">. </w:t>
      </w:r>
      <w:r w:rsidRPr="00104CF5">
        <w:rPr>
          <w:rFonts w:ascii="Times New Roman" w:hAnsi="Times New Roman" w:cs="Times New Roman"/>
          <w:b/>
        </w:rPr>
        <w:t xml:space="preserve">A descoberta da infância. </w:t>
      </w:r>
      <w:r w:rsidRPr="00104CF5">
        <w:rPr>
          <w:rFonts w:ascii="Times New Roman" w:hAnsi="Times New Roman" w:cs="Times New Roman"/>
        </w:rPr>
        <w:t>2.ed. Rio de Janeiro: LTC, 1981,p.17-31.</w:t>
      </w:r>
    </w:p>
    <w:p w:rsidR="001C0E03" w:rsidRDefault="001C0E03" w:rsidP="00104CF5">
      <w:pPr>
        <w:tabs>
          <w:tab w:val="left" w:pos="5903"/>
        </w:tabs>
        <w:spacing w:after="0" w:line="240" w:lineRule="auto"/>
        <w:ind w:right="266"/>
        <w:rPr>
          <w:rFonts w:ascii="Times New Roman" w:hAnsi="Times New Roman" w:cs="Times New Roman"/>
        </w:rPr>
      </w:pPr>
    </w:p>
    <w:p w:rsidR="001C0E03" w:rsidRPr="00CB32A1" w:rsidRDefault="001C0E03" w:rsidP="001C0E03">
      <w:pPr>
        <w:pStyle w:val="Corpodetexto"/>
        <w:spacing w:before="0" w:line="240" w:lineRule="auto"/>
        <w:ind w:left="0" w:firstLine="0"/>
      </w:pPr>
      <w:r w:rsidRPr="00CB32A1">
        <w:t>BONÉ, M.</w:t>
      </w:r>
      <w:r>
        <w:t xml:space="preserve"> </w:t>
      </w:r>
      <w:r w:rsidRPr="00CB32A1">
        <w:t xml:space="preserve">A.; BONITO, J.; CALDEIRA, V. Capacitação de crianças com dificuldades intelectuais para boas práticas alimentares. </w:t>
      </w:r>
      <w:r w:rsidRPr="00CB32A1">
        <w:rPr>
          <w:b/>
        </w:rPr>
        <w:t xml:space="preserve">Holos. </w:t>
      </w:r>
      <w:r w:rsidRPr="00CB32A1">
        <w:t>Ano 31, v. 3,2015.</w:t>
      </w:r>
    </w:p>
    <w:p w:rsidR="00104CF5" w:rsidRPr="00104CF5" w:rsidRDefault="00104CF5" w:rsidP="00104CF5">
      <w:pPr>
        <w:tabs>
          <w:tab w:val="left" w:pos="5903"/>
        </w:tabs>
        <w:spacing w:after="0" w:line="240" w:lineRule="auto"/>
        <w:ind w:right="266"/>
        <w:rPr>
          <w:rFonts w:ascii="Times New Roman" w:hAnsi="Times New Roman" w:cs="Times New Roman"/>
        </w:rPr>
      </w:pPr>
    </w:p>
    <w:p w:rsidR="001C0E03" w:rsidRPr="00CB32A1" w:rsidRDefault="001C0E03" w:rsidP="001C0E03">
      <w:pPr>
        <w:pStyle w:val="Corpodetexto"/>
        <w:spacing w:before="0" w:line="240" w:lineRule="auto"/>
        <w:ind w:left="0" w:firstLine="0"/>
      </w:pPr>
      <w:r>
        <w:t>BRASIL, 2009</w:t>
      </w:r>
      <w:r w:rsidRPr="00CB32A1">
        <w:t>. Parecer CNE/CEB 22/1998. Diretrizes Curriculares Nacionais para a Educação Infantil, artigo 4º. Brasília-DF. Disponível em: &lt;</w:t>
      </w:r>
      <w:hyperlink r:id="rId7">
        <w:r w:rsidRPr="00CB32A1">
          <w:rPr>
            <w:color w:val="0000FF"/>
            <w:u w:val="single" w:color="0000FF"/>
          </w:rPr>
          <w:t>http://portal.mec.gov.br/dmdocuments/parecer_ceb_22.98.pdf</w:t>
        </w:r>
      </w:hyperlink>
      <w:r w:rsidRPr="00CB32A1">
        <w:t>&gt;. Acesso em: 24 março 2017.</w:t>
      </w:r>
    </w:p>
    <w:p w:rsidR="00104CF5" w:rsidRPr="00104CF5" w:rsidRDefault="00104CF5" w:rsidP="00104CF5">
      <w:pPr>
        <w:pStyle w:val="Corpodetexto"/>
        <w:spacing w:before="0" w:line="240" w:lineRule="auto"/>
        <w:ind w:left="0" w:firstLine="0"/>
      </w:pPr>
    </w:p>
    <w:p w:rsidR="00104CF5" w:rsidRPr="00104CF5" w:rsidRDefault="00104CF5" w:rsidP="00104CF5">
      <w:pPr>
        <w:pStyle w:val="Corpodetexto"/>
        <w:spacing w:before="0" w:line="240" w:lineRule="auto"/>
        <w:ind w:left="0" w:firstLine="0"/>
      </w:pPr>
    </w:p>
    <w:p w:rsidR="00104CF5" w:rsidRP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>BRASIL, 2013. PNAN – Política Nacional de Alimentação e Nutrição. Ministério da Saúde. Brasília-DF.</w:t>
      </w:r>
      <w:r w:rsidRPr="00104CF5">
        <w:tab/>
        <w:t>p.86.</w:t>
      </w:r>
      <w:r w:rsidRPr="00104CF5">
        <w:tab/>
        <w:t>Disponível</w:t>
      </w:r>
      <w:r w:rsidRPr="00104CF5">
        <w:tab/>
        <w:t>em: &lt;</w:t>
      </w:r>
      <w:hyperlink r:id="rId8">
        <w:r w:rsidRPr="00104CF5">
          <w:rPr>
            <w:color w:val="0000FF"/>
            <w:u w:val="single" w:color="0000FF"/>
          </w:rPr>
          <w:t>http://bvsms.saude.gov.br/bvs/publicacoes/politica_nacional_alimentacao_nutricao.pdf</w:t>
        </w:r>
      </w:hyperlink>
      <w:r w:rsidRPr="00104CF5">
        <w:t>&gt;.</w:t>
      </w:r>
    </w:p>
    <w:p w:rsidR="00104CF5" w:rsidRDefault="00104CF5" w:rsidP="00104CF5">
      <w:pPr>
        <w:pStyle w:val="Corpodetexto"/>
        <w:spacing w:before="0" w:line="240" w:lineRule="auto"/>
      </w:pPr>
      <w:r w:rsidRPr="00104CF5">
        <w:t>Acesso em: 22 março 2017.</w:t>
      </w:r>
    </w:p>
    <w:p w:rsidR="00104CF5" w:rsidRPr="00104CF5" w:rsidRDefault="00104CF5" w:rsidP="00104CF5">
      <w:pPr>
        <w:pStyle w:val="Corpodetexto"/>
        <w:spacing w:before="0" w:line="240" w:lineRule="auto"/>
      </w:pPr>
    </w:p>
    <w:p w:rsid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>BRASIL, 2014. Guia alimentar para a população brasileira. Ministério da Saúde. Secretaria de Atenção à Saúde. Departamento de Atenção Básica. Brasília-DF. p.158. Disponível em: &lt;</w:t>
      </w:r>
      <w:hyperlink r:id="rId9">
        <w:r w:rsidRPr="00104CF5">
          <w:rPr>
            <w:color w:val="0000FF"/>
            <w:u w:val="single" w:color="0000FF"/>
          </w:rPr>
          <w:t>http://portalarquivos.saude.gov.br/images/pdf/2014/novembro/05/Guia-Alimentar-para-a-pop-</w:t>
        </w:r>
      </w:hyperlink>
      <w:hyperlink r:id="rId10">
        <w:r w:rsidRPr="00104CF5">
          <w:rPr>
            <w:color w:val="0000FF"/>
            <w:u w:val="single" w:color="0000FF"/>
          </w:rPr>
          <w:t>brasiliera-Miolo-PDF-Internet.pdf</w:t>
        </w:r>
      </w:hyperlink>
      <w:r w:rsidRPr="00104CF5">
        <w:t>&gt;. Acesso em: 22 março 2017.</w:t>
      </w:r>
    </w:p>
    <w:p w:rsidR="00104CF5" w:rsidRPr="00104CF5" w:rsidRDefault="00104CF5" w:rsidP="00104CF5">
      <w:pPr>
        <w:pStyle w:val="Corpodetexto"/>
        <w:spacing w:before="0" w:line="240" w:lineRule="auto"/>
        <w:ind w:left="0" w:firstLine="0"/>
      </w:pPr>
    </w:p>
    <w:p w:rsidR="00104CF5" w:rsidRDefault="00104CF5" w:rsidP="00104CF5">
      <w:pPr>
        <w:spacing w:after="0" w:line="240" w:lineRule="auto"/>
        <w:rPr>
          <w:rFonts w:ascii="Times New Roman" w:hAnsi="Times New Roman" w:cs="Times New Roman"/>
        </w:rPr>
      </w:pPr>
      <w:r w:rsidRPr="00104CF5">
        <w:rPr>
          <w:rFonts w:ascii="Times New Roman" w:hAnsi="Times New Roman" w:cs="Times New Roman"/>
        </w:rPr>
        <w:t xml:space="preserve">CORSARO, W. </w:t>
      </w:r>
      <w:r w:rsidRPr="00104CF5">
        <w:rPr>
          <w:rFonts w:ascii="Times New Roman" w:hAnsi="Times New Roman" w:cs="Times New Roman"/>
          <w:b/>
        </w:rPr>
        <w:t>Sociologia da infância</w:t>
      </w:r>
      <w:r w:rsidRPr="00104CF5">
        <w:rPr>
          <w:rFonts w:ascii="Times New Roman" w:hAnsi="Times New Roman" w:cs="Times New Roman"/>
        </w:rPr>
        <w:t>. Tradução de Lia Gabriele Regiu</w:t>
      </w:r>
      <w:r w:rsidR="001C0E03">
        <w:rPr>
          <w:rFonts w:ascii="Times New Roman" w:hAnsi="Times New Roman" w:cs="Times New Roman"/>
        </w:rPr>
        <w:t>s Reis. São Paulo: Artmed, 2011</w:t>
      </w:r>
      <w:r w:rsidRPr="00104CF5">
        <w:rPr>
          <w:rFonts w:ascii="Times New Roman" w:hAnsi="Times New Roman" w:cs="Times New Roman"/>
        </w:rPr>
        <w:t>.</w:t>
      </w:r>
    </w:p>
    <w:p w:rsidR="00104CF5" w:rsidRPr="00104CF5" w:rsidRDefault="00104CF5" w:rsidP="00104CF5">
      <w:pPr>
        <w:spacing w:after="0" w:line="240" w:lineRule="auto"/>
        <w:rPr>
          <w:rFonts w:ascii="Times New Roman" w:hAnsi="Times New Roman" w:cs="Times New Roman"/>
        </w:rPr>
      </w:pPr>
    </w:p>
    <w:p w:rsid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>FAGIOLI,</w:t>
      </w:r>
      <w:r w:rsidR="001C0E03">
        <w:t xml:space="preserve"> </w:t>
      </w:r>
      <w:r w:rsidRPr="00104CF5">
        <w:t>D.</w:t>
      </w:r>
      <w:r w:rsidR="001C0E03">
        <w:t xml:space="preserve"> </w:t>
      </w:r>
      <w:r w:rsidRPr="00104CF5">
        <w:t>et</w:t>
      </w:r>
      <w:r w:rsidR="001C0E03">
        <w:t xml:space="preserve"> </w:t>
      </w:r>
      <w:r w:rsidRPr="00104CF5">
        <w:t>al.</w:t>
      </w:r>
      <w:r w:rsidR="001C0E03">
        <w:t xml:space="preserve"> </w:t>
      </w:r>
      <w:r w:rsidRPr="00104CF5">
        <w:t>Caracterização</w:t>
      </w:r>
      <w:r w:rsidR="001C0E03">
        <w:t xml:space="preserve"> </w:t>
      </w:r>
      <w:r w:rsidRPr="00104CF5">
        <w:t>do</w:t>
      </w:r>
      <w:r w:rsidR="001C0E03">
        <w:t xml:space="preserve"> </w:t>
      </w:r>
      <w:r w:rsidRPr="00104CF5">
        <w:t>Estado</w:t>
      </w:r>
      <w:r w:rsidR="001C0E03">
        <w:t xml:space="preserve"> </w:t>
      </w:r>
      <w:r w:rsidRPr="00104CF5">
        <w:t>Nutricional</w:t>
      </w:r>
      <w:r w:rsidR="001C0E03">
        <w:t xml:space="preserve"> </w:t>
      </w:r>
      <w:r w:rsidRPr="00104CF5">
        <w:t>de</w:t>
      </w:r>
      <w:r w:rsidR="001C0E03">
        <w:t xml:space="preserve"> </w:t>
      </w:r>
      <w:r w:rsidRPr="00104CF5">
        <w:t>Escolares</w:t>
      </w:r>
      <w:r w:rsidR="001C0E03">
        <w:t xml:space="preserve"> </w:t>
      </w:r>
      <w:r w:rsidRPr="00104CF5">
        <w:t>Atendidos</w:t>
      </w:r>
      <w:r w:rsidR="001C0E03">
        <w:t xml:space="preserve"> </w:t>
      </w:r>
      <w:r w:rsidRPr="00104CF5">
        <w:t>pelo</w:t>
      </w:r>
      <w:r w:rsidR="001C0E03">
        <w:t xml:space="preserve"> </w:t>
      </w:r>
      <w:r w:rsidRPr="00104CF5">
        <w:t>Programa Alimentação</w:t>
      </w:r>
      <w:r w:rsidR="001C0E03">
        <w:t xml:space="preserve"> </w:t>
      </w:r>
      <w:r w:rsidRPr="00104CF5">
        <w:t>Saudável</w:t>
      </w:r>
      <w:r w:rsidR="001C0E03">
        <w:t xml:space="preserve"> </w:t>
      </w:r>
      <w:r w:rsidRPr="00104CF5">
        <w:t>da</w:t>
      </w:r>
      <w:r w:rsidR="001C0E03">
        <w:t xml:space="preserve"> </w:t>
      </w:r>
      <w:r w:rsidRPr="00104CF5">
        <w:t>Prefeitura</w:t>
      </w:r>
      <w:r w:rsidR="001C0E03">
        <w:t xml:space="preserve"> </w:t>
      </w:r>
      <w:r w:rsidRPr="00104CF5">
        <w:t>do</w:t>
      </w:r>
      <w:r w:rsidR="001C0E03">
        <w:t xml:space="preserve"> </w:t>
      </w:r>
      <w:r w:rsidRPr="00104CF5">
        <w:t>Município</w:t>
      </w:r>
      <w:r w:rsidR="001C0E03">
        <w:t xml:space="preserve"> </w:t>
      </w:r>
      <w:r w:rsidRPr="00104CF5">
        <w:t>de</w:t>
      </w:r>
      <w:r w:rsidR="001C0E03">
        <w:t xml:space="preserve"> </w:t>
      </w:r>
      <w:r w:rsidRPr="00104CF5">
        <w:t>São</w:t>
      </w:r>
      <w:r w:rsidR="001C0E03">
        <w:t xml:space="preserve"> </w:t>
      </w:r>
      <w:r w:rsidRPr="00104CF5">
        <w:t>Paulo.</w:t>
      </w:r>
      <w:r w:rsidR="001C0E03">
        <w:t xml:space="preserve"> </w:t>
      </w:r>
      <w:r w:rsidRPr="00104CF5">
        <w:rPr>
          <w:b/>
        </w:rPr>
        <w:t>Rev.</w:t>
      </w:r>
      <w:r w:rsidR="001C0E03">
        <w:rPr>
          <w:b/>
        </w:rPr>
        <w:t xml:space="preserve"> </w:t>
      </w:r>
      <w:r w:rsidRPr="00104CF5">
        <w:rPr>
          <w:b/>
        </w:rPr>
        <w:t>Nutrição</w:t>
      </w:r>
      <w:r w:rsidR="001C0E03">
        <w:rPr>
          <w:b/>
        </w:rPr>
        <w:t xml:space="preserve"> </w:t>
      </w:r>
      <w:r w:rsidRPr="00104CF5">
        <w:rPr>
          <w:b/>
        </w:rPr>
        <w:t>em</w:t>
      </w:r>
      <w:r w:rsidR="001C0E03">
        <w:rPr>
          <w:b/>
        </w:rPr>
        <w:t xml:space="preserve"> </w:t>
      </w:r>
      <w:r w:rsidRPr="00104CF5">
        <w:rPr>
          <w:b/>
        </w:rPr>
        <w:t>Pauta</w:t>
      </w:r>
      <w:r w:rsidRPr="00104CF5">
        <w:t>,</w:t>
      </w:r>
      <w:r w:rsidR="001C0E03">
        <w:t xml:space="preserve"> </w:t>
      </w:r>
      <w:r w:rsidRPr="00104CF5">
        <w:t>n.85. Julho/Agosto 2007.</w:t>
      </w:r>
    </w:p>
    <w:p w:rsidR="00104CF5" w:rsidRPr="00104CF5" w:rsidRDefault="00104CF5" w:rsidP="00104CF5">
      <w:pPr>
        <w:pStyle w:val="Corpodetexto"/>
        <w:spacing w:before="0" w:line="240" w:lineRule="auto"/>
        <w:ind w:left="0" w:firstLine="0"/>
      </w:pPr>
    </w:p>
    <w:p w:rsidR="00104CF5" w:rsidRDefault="00104CF5" w:rsidP="00104CF5">
      <w:pPr>
        <w:spacing w:after="0" w:line="240" w:lineRule="auto"/>
        <w:ind w:right="270"/>
        <w:rPr>
          <w:rFonts w:ascii="Times New Roman" w:hAnsi="Times New Roman" w:cs="Times New Roman"/>
        </w:rPr>
      </w:pPr>
      <w:r w:rsidRPr="00104CF5">
        <w:rPr>
          <w:rFonts w:ascii="Times New Roman" w:hAnsi="Times New Roman" w:cs="Times New Roman"/>
        </w:rPr>
        <w:t>GARISO,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S.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D.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N.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  <w:b/>
        </w:rPr>
        <w:t>Estudo</w:t>
      </w:r>
      <w:r w:rsidR="001C0E03">
        <w:rPr>
          <w:rFonts w:ascii="Times New Roman" w:hAnsi="Times New Roman" w:cs="Times New Roman"/>
          <w:b/>
        </w:rPr>
        <w:t xml:space="preserve"> </w:t>
      </w:r>
      <w:r w:rsidRPr="00104CF5">
        <w:rPr>
          <w:rFonts w:ascii="Times New Roman" w:hAnsi="Times New Roman" w:cs="Times New Roman"/>
          <w:b/>
        </w:rPr>
        <w:t>exploratório</w:t>
      </w:r>
      <w:r w:rsidR="001C0E03">
        <w:rPr>
          <w:rFonts w:ascii="Times New Roman" w:hAnsi="Times New Roman" w:cs="Times New Roman"/>
          <w:b/>
        </w:rPr>
        <w:t xml:space="preserve"> </w:t>
      </w:r>
      <w:r w:rsidRPr="00104CF5">
        <w:rPr>
          <w:rFonts w:ascii="Times New Roman" w:hAnsi="Times New Roman" w:cs="Times New Roman"/>
          <w:b/>
        </w:rPr>
        <w:t>das</w:t>
      </w:r>
      <w:r w:rsidR="001C0E03">
        <w:rPr>
          <w:rFonts w:ascii="Times New Roman" w:hAnsi="Times New Roman" w:cs="Times New Roman"/>
          <w:b/>
        </w:rPr>
        <w:t xml:space="preserve"> </w:t>
      </w:r>
      <w:r w:rsidRPr="00104CF5">
        <w:rPr>
          <w:rFonts w:ascii="Times New Roman" w:hAnsi="Times New Roman" w:cs="Times New Roman"/>
          <w:b/>
        </w:rPr>
        <w:t>necessidades</w:t>
      </w:r>
      <w:r w:rsidR="001C0E03">
        <w:rPr>
          <w:rFonts w:ascii="Times New Roman" w:hAnsi="Times New Roman" w:cs="Times New Roman"/>
          <w:b/>
        </w:rPr>
        <w:t xml:space="preserve"> </w:t>
      </w:r>
      <w:r w:rsidRPr="00104CF5">
        <w:rPr>
          <w:rFonts w:ascii="Times New Roman" w:hAnsi="Times New Roman" w:cs="Times New Roman"/>
          <w:b/>
        </w:rPr>
        <w:t>de</w:t>
      </w:r>
      <w:r w:rsidR="001C0E03">
        <w:rPr>
          <w:rFonts w:ascii="Times New Roman" w:hAnsi="Times New Roman" w:cs="Times New Roman"/>
          <w:b/>
        </w:rPr>
        <w:t xml:space="preserve"> </w:t>
      </w:r>
      <w:r w:rsidRPr="00104CF5">
        <w:rPr>
          <w:rFonts w:ascii="Times New Roman" w:hAnsi="Times New Roman" w:cs="Times New Roman"/>
          <w:b/>
        </w:rPr>
        <w:t>educação</w:t>
      </w:r>
      <w:r w:rsidR="001C0E03">
        <w:rPr>
          <w:rFonts w:ascii="Times New Roman" w:hAnsi="Times New Roman" w:cs="Times New Roman"/>
          <w:b/>
        </w:rPr>
        <w:t xml:space="preserve"> </w:t>
      </w:r>
      <w:r w:rsidRPr="00104CF5">
        <w:rPr>
          <w:rFonts w:ascii="Times New Roman" w:hAnsi="Times New Roman" w:cs="Times New Roman"/>
          <w:b/>
        </w:rPr>
        <w:t>parental</w:t>
      </w:r>
      <w:r w:rsidR="001C0E03">
        <w:rPr>
          <w:rFonts w:ascii="Times New Roman" w:hAnsi="Times New Roman" w:cs="Times New Roman"/>
          <w:b/>
        </w:rPr>
        <w:t xml:space="preserve"> </w:t>
      </w:r>
      <w:r w:rsidRPr="00104CF5">
        <w:rPr>
          <w:rFonts w:ascii="Times New Roman" w:hAnsi="Times New Roman" w:cs="Times New Roman"/>
          <w:b/>
        </w:rPr>
        <w:t>na</w:t>
      </w:r>
      <w:r w:rsidR="001C0E03">
        <w:rPr>
          <w:rFonts w:ascii="Times New Roman" w:hAnsi="Times New Roman" w:cs="Times New Roman"/>
          <w:b/>
        </w:rPr>
        <w:t xml:space="preserve"> </w:t>
      </w:r>
      <w:r w:rsidRPr="00104CF5">
        <w:rPr>
          <w:rFonts w:ascii="Times New Roman" w:hAnsi="Times New Roman" w:cs="Times New Roman"/>
          <w:b/>
        </w:rPr>
        <w:t xml:space="preserve">prevenção da obesidade infantil: </w:t>
      </w:r>
      <w:r w:rsidRPr="00104CF5">
        <w:rPr>
          <w:rFonts w:ascii="Times New Roman" w:hAnsi="Times New Roman" w:cs="Times New Roman"/>
        </w:rPr>
        <w:t>as realidades brasileira e portuguesa. 138 f. Dissertação (Mestrado em Intervenção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Psicossocial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com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crianças,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jovens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e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famílias)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–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Instituto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de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Educação,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Universidade do Minho, Portugal,2014.</w:t>
      </w:r>
    </w:p>
    <w:p w:rsidR="00104CF5" w:rsidRPr="00104CF5" w:rsidRDefault="00104CF5" w:rsidP="00104CF5">
      <w:pPr>
        <w:spacing w:after="0" w:line="240" w:lineRule="auto"/>
        <w:ind w:right="270"/>
        <w:rPr>
          <w:rFonts w:ascii="Times New Roman" w:hAnsi="Times New Roman" w:cs="Times New Roman"/>
        </w:rPr>
      </w:pPr>
    </w:p>
    <w:p w:rsidR="00104CF5" w:rsidRDefault="00104CF5" w:rsidP="00104CF5">
      <w:pPr>
        <w:spacing w:after="0" w:line="240" w:lineRule="auto"/>
        <w:rPr>
          <w:rFonts w:ascii="Times New Roman" w:hAnsi="Times New Roman" w:cs="Times New Roman"/>
        </w:rPr>
      </w:pPr>
      <w:r w:rsidRPr="00104CF5">
        <w:rPr>
          <w:rFonts w:ascii="Times New Roman" w:hAnsi="Times New Roman" w:cs="Times New Roman"/>
        </w:rPr>
        <w:t xml:space="preserve">LEWIN, K. </w:t>
      </w:r>
      <w:r w:rsidRPr="00104CF5">
        <w:rPr>
          <w:rFonts w:ascii="Times New Roman" w:hAnsi="Times New Roman" w:cs="Times New Roman"/>
          <w:b/>
        </w:rPr>
        <w:t xml:space="preserve">Teoria de campo em ciência social. </w:t>
      </w:r>
      <w:r w:rsidRPr="00104CF5">
        <w:rPr>
          <w:rFonts w:ascii="Times New Roman" w:hAnsi="Times New Roman" w:cs="Times New Roman"/>
        </w:rPr>
        <w:t>São Paulo: Pioneira, 1965.</w:t>
      </w:r>
    </w:p>
    <w:p w:rsidR="001C0E03" w:rsidRDefault="001C0E03" w:rsidP="00104CF5">
      <w:pPr>
        <w:spacing w:after="0" w:line="240" w:lineRule="auto"/>
        <w:rPr>
          <w:rFonts w:ascii="Times New Roman" w:hAnsi="Times New Roman" w:cs="Times New Roman"/>
        </w:rPr>
      </w:pPr>
    </w:p>
    <w:p w:rsidR="001C0E03" w:rsidRPr="00CD57AE" w:rsidRDefault="001C0E03" w:rsidP="001C0E03">
      <w:pPr>
        <w:pStyle w:val="NormalWeb"/>
        <w:spacing w:before="0" w:beforeAutospacing="0" w:after="0" w:afterAutospacing="0"/>
        <w:jc w:val="both"/>
      </w:pPr>
      <w:r>
        <w:t xml:space="preserve">PHILIPPI, S.T. </w:t>
      </w:r>
      <w:r>
        <w:rPr>
          <w:i/>
        </w:rPr>
        <w:t>Pirâmide dos</w:t>
      </w:r>
      <w:r w:rsidRPr="009152A4">
        <w:rPr>
          <w:i/>
        </w:rPr>
        <w:t xml:space="preserve"> Alimentos</w:t>
      </w:r>
      <w:r>
        <w:rPr>
          <w:b/>
        </w:rPr>
        <w:t xml:space="preserve">. </w:t>
      </w:r>
      <w:r>
        <w:t>São Paulo: Manole, 2009. 1 ed. p. 387.</w:t>
      </w:r>
    </w:p>
    <w:p w:rsidR="00104CF5" w:rsidRPr="00104CF5" w:rsidRDefault="00104CF5" w:rsidP="00104CF5">
      <w:pPr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04CF5" w:rsidRP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 xml:space="preserve">RODRIGUES, LIMA, de LIMA. A educação nutricional no contexto das culturas da infância. </w:t>
      </w:r>
      <w:r w:rsidRPr="00104CF5">
        <w:rPr>
          <w:b/>
        </w:rPr>
        <w:t>ColloquiumHumanarum</w:t>
      </w:r>
      <w:r w:rsidRPr="00104CF5">
        <w:t>, Presidente Prudente, v.13, n.3, p.01-06, jul/set.2016. Disponível em: &lt;</w:t>
      </w:r>
      <w:hyperlink r:id="rId11">
        <w:r w:rsidRPr="00104CF5">
          <w:rPr>
            <w:color w:val="0000FF"/>
            <w:u w:val="single" w:color="0000FF"/>
          </w:rPr>
          <w:t>http://revistas.unoeste.br/revistas/ojs/index.php/ch/article/viewFile/1766/1729</w:t>
        </w:r>
      </w:hyperlink>
      <w:r w:rsidRPr="00104CF5">
        <w:t>&gt;. Acesso em: 11 abril 2017.</w:t>
      </w:r>
    </w:p>
    <w:p w:rsidR="00104CF5" w:rsidRPr="00104CF5" w:rsidRDefault="00104CF5" w:rsidP="00104CF5">
      <w:pPr>
        <w:pStyle w:val="Corpodetexto"/>
        <w:spacing w:before="0" w:line="240" w:lineRule="auto"/>
        <w:ind w:left="0" w:firstLine="0"/>
      </w:pPr>
    </w:p>
    <w:p w:rsid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>SARMENTO, M.J. As culturas da infância nas encruzilhadas da segunda modernidade. In:</w:t>
      </w:r>
      <w:r w:rsidRPr="00104CF5">
        <w:rPr>
          <w:u w:val="single"/>
        </w:rPr>
        <w:lastRenderedPageBreak/>
        <w:tab/>
      </w:r>
      <w:r w:rsidRPr="00104CF5">
        <w:t xml:space="preserve">; CERISARA, A.B. </w:t>
      </w:r>
      <w:r w:rsidRPr="00104CF5">
        <w:rPr>
          <w:b/>
        </w:rPr>
        <w:t xml:space="preserve">Crianças e Miúdos: perspectivas sociopedagógicas da infância e educação. </w:t>
      </w:r>
      <w:r w:rsidRPr="00104CF5">
        <w:t>Porto, Portugal: Asa Editores, 2004.</w:t>
      </w:r>
    </w:p>
    <w:p w:rsidR="001C0E03" w:rsidRPr="00104CF5" w:rsidRDefault="001C0E03" w:rsidP="00104CF5">
      <w:pPr>
        <w:pStyle w:val="Corpodetexto"/>
        <w:spacing w:before="0" w:line="240" w:lineRule="auto"/>
        <w:ind w:left="0" w:firstLine="0"/>
      </w:pPr>
    </w:p>
    <w:p w:rsid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>SARMENTO, M.J. Infância contemporânea e educação infantil: uma perspectiva a partir dos direitos da criança. Instituto da Educação. Universidade do Minho. Portugal, 2013.</w:t>
      </w:r>
    </w:p>
    <w:p w:rsidR="001C0E03" w:rsidRPr="00104CF5" w:rsidRDefault="001C0E03" w:rsidP="00104CF5">
      <w:pPr>
        <w:pStyle w:val="Corpodetexto"/>
        <w:spacing w:before="0" w:line="240" w:lineRule="auto"/>
        <w:ind w:left="0" w:firstLine="0"/>
      </w:pPr>
    </w:p>
    <w:p w:rsid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 xml:space="preserve">SOCIEDADE BRASILEIRA DE PEDIATRIA. </w:t>
      </w:r>
      <w:r w:rsidRPr="00104CF5">
        <w:rPr>
          <w:b/>
        </w:rPr>
        <w:t>Conversando com o Pediatra</w:t>
      </w:r>
      <w:r w:rsidRPr="00104CF5">
        <w:rPr>
          <w:i/>
        </w:rPr>
        <w:t>.</w:t>
      </w:r>
      <w:r w:rsidRPr="00104CF5">
        <w:t xml:space="preserve"> SBP, 2005.</w:t>
      </w:r>
      <w:r w:rsidRPr="00104CF5">
        <w:rPr>
          <w:i/>
        </w:rPr>
        <w:t xml:space="preserve"> </w:t>
      </w:r>
      <w:r w:rsidRPr="00104CF5">
        <w:t>Disponível em: &lt;</w:t>
      </w:r>
      <w:hyperlink r:id="rId12">
        <w:r w:rsidRPr="00104CF5">
          <w:rPr>
            <w:color w:val="0000FF"/>
            <w:u w:val="single" w:color="0000FF"/>
          </w:rPr>
          <w:t>http://www.conversandocomopediatra.com.br/paginas/materias_gerais/alimenta%C3%A7%C</w:t>
        </w:r>
      </w:hyperlink>
      <w:hyperlink r:id="rId13">
        <w:r w:rsidRPr="00104CF5">
          <w:rPr>
            <w:color w:val="0000FF"/>
            <w:u w:val="single" w:color="0000FF"/>
          </w:rPr>
          <w:t>3%A3o_para_criancas_de_4_e_5_anos.aspx</w:t>
        </w:r>
      </w:hyperlink>
      <w:r w:rsidRPr="00104CF5">
        <w:t>&gt;. Acesso em: 13 Julho 2017</w:t>
      </w:r>
    </w:p>
    <w:p w:rsidR="001C0E03" w:rsidRPr="00104CF5" w:rsidRDefault="001C0E03" w:rsidP="00104CF5">
      <w:pPr>
        <w:pStyle w:val="Corpodetexto"/>
        <w:spacing w:before="0" w:line="240" w:lineRule="auto"/>
        <w:ind w:left="0" w:firstLine="0"/>
      </w:pPr>
    </w:p>
    <w:p w:rsidR="00104CF5" w:rsidRDefault="00104CF5" w:rsidP="00104CF5">
      <w:pPr>
        <w:spacing w:after="0" w:line="240" w:lineRule="auto"/>
        <w:ind w:right="272"/>
        <w:rPr>
          <w:rFonts w:ascii="Times New Roman" w:hAnsi="Times New Roman" w:cs="Times New Roman"/>
        </w:rPr>
      </w:pPr>
      <w:r w:rsidRPr="00104CF5">
        <w:rPr>
          <w:rFonts w:ascii="Times New Roman" w:hAnsi="Times New Roman" w:cs="Times New Roman"/>
        </w:rPr>
        <w:t>SOQUEIRO, M.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do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>C.</w:t>
      </w:r>
      <w:r w:rsidR="001C0E03">
        <w:rPr>
          <w:rFonts w:ascii="Times New Roman" w:hAnsi="Times New Roman" w:cs="Times New Roman"/>
        </w:rPr>
        <w:t xml:space="preserve"> </w:t>
      </w:r>
      <w:r w:rsidRPr="00104CF5">
        <w:rPr>
          <w:rFonts w:ascii="Times New Roman" w:hAnsi="Times New Roman" w:cs="Times New Roman"/>
        </w:rPr>
        <w:t xml:space="preserve">P. </w:t>
      </w:r>
      <w:r w:rsidRPr="00104CF5">
        <w:rPr>
          <w:rFonts w:ascii="Times New Roman" w:hAnsi="Times New Roman" w:cs="Times New Roman"/>
          <w:b/>
        </w:rPr>
        <w:t xml:space="preserve">A percepção dos pais sobre o comportamento alimentos dos filhos e sua relação com a obesidade. </w:t>
      </w:r>
      <w:r w:rsidRPr="00104CF5">
        <w:rPr>
          <w:rFonts w:ascii="Times New Roman" w:hAnsi="Times New Roman" w:cs="Times New Roman"/>
        </w:rPr>
        <w:t>2013. 119 f. Dissertação (Mestrado em Enfermagem Comunitária). Universidade de Trás-os-Montes e Alto Douro, Vila Real, 2013.</w:t>
      </w:r>
    </w:p>
    <w:p w:rsidR="001C0E03" w:rsidRPr="00104CF5" w:rsidRDefault="001C0E03" w:rsidP="00104CF5">
      <w:pPr>
        <w:spacing w:after="0" w:line="240" w:lineRule="auto"/>
        <w:ind w:right="272"/>
        <w:rPr>
          <w:rFonts w:ascii="Times New Roman" w:hAnsi="Times New Roman" w:cs="Times New Roman"/>
        </w:rPr>
      </w:pPr>
    </w:p>
    <w:p w:rsidR="00104CF5" w:rsidRP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>THIOLLENT, M. Metodologia da pesquisa-ação. 12. ed. São Paulo: Cortez, 2003. 108p. 1947</w:t>
      </w:r>
    </w:p>
    <w:p w:rsidR="001C0E03" w:rsidRDefault="001C0E03" w:rsidP="00104CF5">
      <w:pPr>
        <w:pStyle w:val="Corpodetexto"/>
        <w:spacing w:before="0" w:line="240" w:lineRule="auto"/>
        <w:ind w:left="0" w:firstLine="0"/>
      </w:pPr>
    </w:p>
    <w:p w:rsidR="00104CF5" w:rsidRDefault="00104CF5" w:rsidP="00104CF5">
      <w:pPr>
        <w:pStyle w:val="Corpodetexto"/>
        <w:spacing w:before="0" w:line="240" w:lineRule="auto"/>
        <w:ind w:left="0" w:firstLine="0"/>
      </w:pPr>
      <w:r w:rsidRPr="00104CF5">
        <w:t>VIEIRA, M.; CARVALHO, G.S. Impacto do Programa Educativo ‘Planear Saúde na Escola’ em dois gêmeos adolescentes obesos: Um estudo de caso. In: XI SEMINÁRIO INTERNACIONAL DE EDUCAÇÃO FÍSICA, LAZER &amp; SAÚDE. 2015, Portugal. Anais do XI SEMINÁRIO INTERNACIONAL DE EDUCAÇÃO FÍSICA, LAZER &amp; SAÚDE. Escola Superior de Educação. Universidade do Minho.</w:t>
      </w:r>
    </w:p>
    <w:sectPr w:rsidR="00104CF5" w:rsidSect="000A2259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8B" w:rsidRDefault="00FD328B">
      <w:pPr>
        <w:spacing w:before="0" w:after="0" w:line="240" w:lineRule="auto"/>
      </w:pPr>
      <w:r>
        <w:separator/>
      </w:r>
    </w:p>
  </w:endnote>
  <w:endnote w:type="continuationSeparator" w:id="1">
    <w:p w:rsidR="00FD328B" w:rsidRDefault="00FD32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3D" w:rsidRDefault="004C1D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 w:rsidR="00394C3D"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B823CD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394C3D" w:rsidRDefault="00394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8B" w:rsidRDefault="00FD328B">
      <w:pPr>
        <w:spacing w:before="0" w:after="0" w:line="240" w:lineRule="auto"/>
      </w:pPr>
      <w:r>
        <w:separator/>
      </w:r>
    </w:p>
  </w:footnote>
  <w:footnote w:type="continuationSeparator" w:id="1">
    <w:p w:rsidR="00FD328B" w:rsidRDefault="00FD328B">
      <w:pPr>
        <w:spacing w:before="0" w:after="0" w:line="240" w:lineRule="auto"/>
      </w:pPr>
      <w:r>
        <w:continuationSeparator/>
      </w:r>
    </w:p>
  </w:footnote>
  <w:footnote w:id="2">
    <w:p w:rsidR="00394C3D" w:rsidRPr="00FA7EE8" w:rsidRDefault="00394C3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A7EE8">
        <w:rPr>
          <w:color w:val="auto"/>
          <w:vertAlign w:val="superscript"/>
        </w:rPr>
        <w:footnoteRef/>
      </w:r>
      <w:r w:rsidRPr="00FA7EE8">
        <w:rPr>
          <w:rFonts w:ascii="Times New Roman" w:eastAsia="Times New Roman" w:hAnsi="Times New Roman" w:cs="Times New Roman"/>
          <w:color w:val="auto"/>
          <w:sz w:val="22"/>
          <w:szCs w:val="22"/>
        </w:rPr>
        <w:t>Nutricionista (UNESP Botucatu/SP), Especialista em Educação Infantil – 0 a 5 anos (UNESP Presidente Prudente/SP), Mestranda em Educação (UNESP Presidente Prudente/SP). Professora do Colégio Criando Asas, Birigui, São Paulo, Brasil. Contato: livia.bernardes.rodrigues@gmail.com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3D" w:rsidRDefault="00394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4C3D" w:rsidRDefault="00394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633"/>
    <w:rsid w:val="0001764F"/>
    <w:rsid w:val="00023CD9"/>
    <w:rsid w:val="000A2259"/>
    <w:rsid w:val="00104CF5"/>
    <w:rsid w:val="00132BB2"/>
    <w:rsid w:val="00171F49"/>
    <w:rsid w:val="001C0E03"/>
    <w:rsid w:val="001D3D36"/>
    <w:rsid w:val="001F69A3"/>
    <w:rsid w:val="001F6F8E"/>
    <w:rsid w:val="00234950"/>
    <w:rsid w:val="00293B86"/>
    <w:rsid w:val="002B0B35"/>
    <w:rsid w:val="0030298F"/>
    <w:rsid w:val="0030527B"/>
    <w:rsid w:val="00321752"/>
    <w:rsid w:val="00394C3D"/>
    <w:rsid w:val="003F7F48"/>
    <w:rsid w:val="00454DF7"/>
    <w:rsid w:val="004B1C55"/>
    <w:rsid w:val="004B6ACF"/>
    <w:rsid w:val="004C1D6E"/>
    <w:rsid w:val="004C5185"/>
    <w:rsid w:val="004D4B36"/>
    <w:rsid w:val="005857B8"/>
    <w:rsid w:val="00594633"/>
    <w:rsid w:val="005B5133"/>
    <w:rsid w:val="005C1AFB"/>
    <w:rsid w:val="005C728B"/>
    <w:rsid w:val="00600F50"/>
    <w:rsid w:val="00690CFD"/>
    <w:rsid w:val="006F5174"/>
    <w:rsid w:val="007C448B"/>
    <w:rsid w:val="0084773C"/>
    <w:rsid w:val="008A2656"/>
    <w:rsid w:val="008F2813"/>
    <w:rsid w:val="00912C1A"/>
    <w:rsid w:val="00944E6B"/>
    <w:rsid w:val="009A69DF"/>
    <w:rsid w:val="00A02D8F"/>
    <w:rsid w:val="00A8019F"/>
    <w:rsid w:val="00AE5E7D"/>
    <w:rsid w:val="00B30264"/>
    <w:rsid w:val="00B36C8C"/>
    <w:rsid w:val="00B66FCD"/>
    <w:rsid w:val="00B71C4C"/>
    <w:rsid w:val="00B77979"/>
    <w:rsid w:val="00B823CD"/>
    <w:rsid w:val="00BD0E48"/>
    <w:rsid w:val="00BE6C0F"/>
    <w:rsid w:val="00BF614D"/>
    <w:rsid w:val="00C0202D"/>
    <w:rsid w:val="00C44F90"/>
    <w:rsid w:val="00C92186"/>
    <w:rsid w:val="00CD1E6B"/>
    <w:rsid w:val="00CF5FC3"/>
    <w:rsid w:val="00D151BB"/>
    <w:rsid w:val="00D67820"/>
    <w:rsid w:val="00E02382"/>
    <w:rsid w:val="00E44B08"/>
    <w:rsid w:val="00E735BA"/>
    <w:rsid w:val="00E807A6"/>
    <w:rsid w:val="00E96901"/>
    <w:rsid w:val="00EE441D"/>
    <w:rsid w:val="00F43492"/>
    <w:rsid w:val="00F74395"/>
    <w:rsid w:val="00F91537"/>
    <w:rsid w:val="00FA0919"/>
    <w:rsid w:val="00FA7EE8"/>
    <w:rsid w:val="00FD2BAA"/>
    <w:rsid w:val="00FD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264"/>
  </w:style>
  <w:style w:type="paragraph" w:styleId="Ttulo1">
    <w:name w:val="heading 1"/>
    <w:basedOn w:val="Normal"/>
    <w:next w:val="Normal"/>
    <w:rsid w:val="00B30264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30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30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3026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302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30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30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30264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30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F5174"/>
    <w:pPr>
      <w:widowControl w:val="0"/>
      <w:autoSpaceDE w:val="0"/>
      <w:autoSpaceDN w:val="0"/>
      <w:spacing w:before="200" w:after="0" w:line="360" w:lineRule="auto"/>
      <w:ind w:left="102" w:right="268" w:firstLine="606"/>
    </w:pPr>
    <w:rPr>
      <w:rFonts w:ascii="Times New Roman" w:eastAsia="Times New Roman" w:hAnsi="Times New Roman" w:cs="Times New Roman"/>
      <w:color w:val="auto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F5174"/>
    <w:rPr>
      <w:rFonts w:ascii="Times New Roman" w:eastAsia="Times New Roman" w:hAnsi="Times New Roman" w:cs="Times New Roman"/>
      <w:color w:val="auto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5174"/>
    <w:pPr>
      <w:widowControl w:val="0"/>
      <w:autoSpaceDE w:val="0"/>
      <w:autoSpaceDN w:val="0"/>
      <w:spacing w:before="0" w:after="0" w:line="240" w:lineRule="auto"/>
      <w:ind w:left="709"/>
    </w:pPr>
    <w:rPr>
      <w:rFonts w:ascii="Times New Roman" w:eastAsia="Times New Roman" w:hAnsi="Times New Roman" w:cs="Times New Roman"/>
      <w:color w:val="auto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5174"/>
    <w:rPr>
      <w:rFonts w:ascii="Times New Roman" w:eastAsia="Times New Roman" w:hAnsi="Times New Roman" w:cs="Times New Roman"/>
      <w:color w:val="auto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6F5174"/>
    <w:rPr>
      <w:vertAlign w:val="superscript"/>
    </w:rPr>
  </w:style>
  <w:style w:type="character" w:styleId="Hyperlink">
    <w:name w:val="Hyperlink"/>
    <w:rsid w:val="00104C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0E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publicacoes/politica_nacional_alimentacao_nutricao.pdf" TargetMode="External"/><Relationship Id="rId13" Type="http://schemas.openxmlformats.org/officeDocument/2006/relationships/hyperlink" Target="http://www.conversandocomopediatra.com.br/paginas/materias_gerais/alimenta%C3%A7%C3%A3o_para_criancas_de_4_e_5_anos.asp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dmdocuments/parecer_ceb_22.98.pdf" TargetMode="External"/><Relationship Id="rId12" Type="http://schemas.openxmlformats.org/officeDocument/2006/relationships/hyperlink" Target="http://www.conversandocomopediatra.com.br/paginas/materias_gerais/alimenta%C3%A7%C3%A3o_para_criancas_de_4_e_5_ano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vistas.unoeste.br/revistas/ojs/index.php/ch/article/viewFile/1766/17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ortalarquivos.saude.gov.br/images/pdf/2014/novembro/05/Guia-Alimentar-para-a-pop-brasiliera-Miolo-PDF-Intern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arquivos.saude.gov.br/images/pdf/2014/novembro/05/Guia-Alimentar-para-a-pop-brasiliera-Miolo-PDF-Interne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CD4A-210C-47A0-8AA1-E97F7C8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2451</Words>
  <Characters>14149</Characters>
  <Application>Microsoft Office Word</Application>
  <DocSecurity>0</DocSecurity>
  <Lines>239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Lívia</cp:lastModifiedBy>
  <cp:revision>7</cp:revision>
  <dcterms:created xsi:type="dcterms:W3CDTF">2019-11-19T01:31:00Z</dcterms:created>
  <dcterms:modified xsi:type="dcterms:W3CDTF">2019-11-29T09:18:00Z</dcterms:modified>
</cp:coreProperties>
</file>