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B014" w14:textId="7EF7B585" w:rsidR="003B147B" w:rsidRPr="00BF6B56" w:rsidRDefault="00670E6E" w:rsidP="00BF6B56">
      <w:pPr>
        <w:spacing w:before="12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E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ESTUDO DO CONTEÚDO CALORÍFICO DE LIGNINAS EXTRAÍDAS DE BAGAÇO DE CAN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A-DE-AÇÚCAR E CASCAS DE ABACAXI</w:t>
      </w:r>
    </w:p>
    <w:p w14:paraId="56A6CBE0" w14:textId="408B32C9" w:rsidR="003B147B" w:rsidRPr="00BF6B56" w:rsidRDefault="00670E6E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r w:rsidRPr="00670E6E">
        <w:rPr>
          <w:rFonts w:ascii="Times New Roman" w:hAnsi="Times New Roman" w:cs="Times New Roman"/>
          <w:color w:val="000000"/>
          <w:szCs w:val="20"/>
        </w:rPr>
        <w:t>Gabriela Ciribelli Santos Po</w:t>
      </w:r>
      <w:r>
        <w:rPr>
          <w:rFonts w:ascii="Times New Roman" w:hAnsi="Times New Roman" w:cs="Times New Roman"/>
          <w:color w:val="000000"/>
          <w:szCs w:val="20"/>
        </w:rPr>
        <w:t>mpêu</w:t>
      </w:r>
      <w:r>
        <w:rPr>
          <w:rFonts w:ascii="Times New Roman" w:hAnsi="Times New Roman" w:cs="Times New Roman"/>
          <w:color w:val="000000"/>
          <w:szCs w:val="20"/>
          <w:vertAlign w:val="superscript"/>
        </w:rPr>
        <w:t>1</w:t>
      </w:r>
      <w:r w:rsidRPr="00670E6E">
        <w:rPr>
          <w:rFonts w:ascii="Times New Roman" w:hAnsi="Times New Roman" w:cs="Times New Roman"/>
          <w:color w:val="000000"/>
          <w:szCs w:val="20"/>
        </w:rPr>
        <w:t>, Reinaldo Ruggiero</w:t>
      </w:r>
      <w:r w:rsidRPr="00670E6E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</w:p>
    <w:p w14:paraId="02988D5C" w14:textId="77777777" w:rsidR="00670E6E" w:rsidRDefault="00670E6E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7877B65" w14:textId="30EB77AF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="00670E6E" w:rsidRPr="00670E6E">
        <w:t xml:space="preserve"> </w:t>
      </w:r>
      <w:r w:rsidR="00670E6E" w:rsidRPr="00670E6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Universidade Federal de Uberlândia Instituto de Química, Uberlândia/MG, </w:t>
      </w:r>
      <w:hyperlink r:id="rId8" w:history="1">
        <w:r w:rsidR="00670E6E" w:rsidRPr="00670E6E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</w:rPr>
          <w:t>gabriela_csp@hotmail.com</w:t>
        </w:r>
      </w:hyperlink>
      <w:r w:rsidR="00670E6E" w:rsidRPr="00670E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6E3CFF" w14:textId="5B946160" w:rsidR="003B147B" w:rsidRPr="00670E6E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="00670E6E" w:rsidRPr="00670E6E">
        <w:t xml:space="preserve"> </w:t>
      </w:r>
      <w:r w:rsidR="00670E6E" w:rsidRPr="00670E6E"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de Uberlândia Ins</w:t>
      </w:r>
      <w:r w:rsidR="00670E6E">
        <w:rPr>
          <w:rFonts w:ascii="Times New Roman" w:hAnsi="Times New Roman" w:cs="Times New Roman"/>
          <w:i/>
          <w:color w:val="000000"/>
          <w:sz w:val="20"/>
          <w:szCs w:val="20"/>
        </w:rPr>
        <w:t>tituto de Química. Uberlândia/M</w:t>
      </w:r>
      <w:r w:rsidR="00DC688D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33C34FB7" w14:textId="77777777" w:rsidR="00FA6194" w:rsidRDefault="00FA6194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16"/>
        </w:rPr>
      </w:pPr>
    </w:p>
    <w:p w14:paraId="136DB314" w14:textId="1279FE34" w:rsidR="00BF6B56" w:rsidRPr="00BF6B56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Resumo</w:t>
      </w:r>
    </w:p>
    <w:p w14:paraId="1FDA8B63" w14:textId="3FB69B5C" w:rsidR="00D84246" w:rsidRDefault="00832F41" w:rsidP="006B529E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  <w:szCs w:val="16"/>
        </w:rPr>
      </w:pPr>
      <w:r w:rsidRPr="00832F41">
        <w:rPr>
          <w:rFonts w:ascii="Times New Roman" w:hAnsi="Times New Roman" w:cs="Times New Roman"/>
          <w:color w:val="000000"/>
          <w:szCs w:val="16"/>
        </w:rPr>
        <w:t xml:space="preserve">Um dos avanços das novas tecnologias aplicadas nas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biorrefinarias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 tende a desestruturar o complexo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lignocelulósico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 das plantas, aproveitando as frações de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hemicelulose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 e celulose, gerando assim, um novo subproduto orgânico: a lignina. Essa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macromólecula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 ocupa a posição de segundo material orgânico vegetal mais abundante, responsável por cerca de 30 % dos carbonos e 40 % da energia dos materiais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lignocelulósicos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. Tem se tornado um material de grande interesse nos dias atuais, tendo em vista a redução dos impactos ambientais e disponibilização de energia elétrica a custos reduzidos, além de se tratar de uma fonte de energia limpa e renovável. Algumas pesquisas relacionam a quantidade de lignina presente na madeira e o poder calorífico e comprovam que quanto maior o teor de lignina encontrado, maior seu poder calorífico. Em razão de tais aspectos, teve-se como objetivo principal analisar e caracterizar, do ponto de vista termodinâmico, as ligninas extraídas de resíduos de duas plantas geradoras de grande quantidade de biomassa </w:t>
      </w:r>
      <w:proofErr w:type="spellStart"/>
      <w:r w:rsidRPr="00832F41">
        <w:rPr>
          <w:rFonts w:ascii="Times New Roman" w:hAnsi="Times New Roman" w:cs="Times New Roman"/>
          <w:color w:val="000000"/>
          <w:szCs w:val="16"/>
        </w:rPr>
        <w:t>lignocelulósicas</w:t>
      </w:r>
      <w:proofErr w:type="spellEnd"/>
      <w:r w:rsidRPr="00832F41">
        <w:rPr>
          <w:rFonts w:ascii="Times New Roman" w:hAnsi="Times New Roman" w:cs="Times New Roman"/>
          <w:color w:val="000000"/>
          <w:szCs w:val="16"/>
        </w:rPr>
        <w:t xml:space="preserve"> no Brasil (bagaço de cana-de-açúcar e casca de abacaxi)</w:t>
      </w:r>
      <w:r w:rsidR="009C744A">
        <w:rPr>
          <w:rFonts w:ascii="Times New Roman" w:hAnsi="Times New Roman" w:cs="Times New Roman"/>
          <w:color w:val="000000"/>
          <w:szCs w:val="16"/>
        </w:rPr>
        <w:t xml:space="preserve">. </w:t>
      </w:r>
      <w:r w:rsidRPr="00832F41">
        <w:rPr>
          <w:rFonts w:ascii="Times New Roman" w:hAnsi="Times New Roman" w:cs="Times New Roman"/>
          <w:color w:val="000000"/>
          <w:szCs w:val="16"/>
        </w:rPr>
        <w:t>As ligninas foram extraídas destas biomassas por métodos similares, deslignificação básica com solução de hidróxido de sódio, focando no estudo calorífico individual de cada amostra e correlacionando essas energias caloríficas com a da biomassa de origem, com o intuito de avaliar o melhor aproveitamento energético. A metodologia se baseou em duas partes: a primeira envolve a caracterização das ligninas, com anális</w:t>
      </w:r>
      <w:r w:rsidR="003A5E84">
        <w:rPr>
          <w:rFonts w:ascii="Times New Roman" w:hAnsi="Times New Roman" w:cs="Times New Roman"/>
          <w:color w:val="000000"/>
          <w:szCs w:val="16"/>
        </w:rPr>
        <w:t xml:space="preserve">es de FTIR, CHNSO </w:t>
      </w:r>
      <w:r w:rsidRPr="00832F41">
        <w:rPr>
          <w:rFonts w:ascii="Times New Roman" w:hAnsi="Times New Roman" w:cs="Times New Roman"/>
          <w:color w:val="000000"/>
          <w:szCs w:val="16"/>
        </w:rPr>
        <w:t xml:space="preserve">e Teores de </w:t>
      </w:r>
      <w:r w:rsidR="009C744A">
        <w:rPr>
          <w:rFonts w:ascii="Times New Roman" w:hAnsi="Times New Roman" w:cs="Times New Roman"/>
          <w:color w:val="000000"/>
          <w:szCs w:val="16"/>
        </w:rPr>
        <w:t>Cinzas e Umidade, e a segunda</w:t>
      </w:r>
      <w:r w:rsidR="00BD6E1B">
        <w:rPr>
          <w:rFonts w:ascii="Times New Roman" w:hAnsi="Times New Roman" w:cs="Times New Roman"/>
          <w:color w:val="000000"/>
          <w:szCs w:val="16"/>
        </w:rPr>
        <w:t xml:space="preserve"> parte</w:t>
      </w:r>
      <w:r w:rsidR="009C744A">
        <w:rPr>
          <w:rFonts w:ascii="Times New Roman" w:hAnsi="Times New Roman" w:cs="Times New Roman"/>
          <w:color w:val="000000"/>
          <w:szCs w:val="16"/>
        </w:rPr>
        <w:t xml:space="preserve">, </w:t>
      </w:r>
      <w:r w:rsidRPr="00832F41">
        <w:rPr>
          <w:rFonts w:ascii="Times New Roman" w:hAnsi="Times New Roman" w:cs="Times New Roman"/>
          <w:color w:val="000000"/>
          <w:szCs w:val="16"/>
        </w:rPr>
        <w:t>na determinação do conteúdo energético das amostras, com análises de DSC e Poder Calorífico. Como prioridade de posteriores estudos de uso energético, destacamos os resultados da análise elementar e poder calorífico, respectivamente, sendo a lignina de bagaço de cana-de-açúcar com 58 % de carbono e 4413,24 kcal kg</w:t>
      </w:r>
      <w:r w:rsidRPr="00DC688D">
        <w:rPr>
          <w:rFonts w:ascii="Times New Roman" w:hAnsi="Times New Roman" w:cs="Times New Roman"/>
          <w:color w:val="000000"/>
          <w:szCs w:val="16"/>
          <w:vertAlign w:val="superscript"/>
        </w:rPr>
        <w:t>-1</w:t>
      </w:r>
      <w:r w:rsidRPr="00832F41">
        <w:rPr>
          <w:rFonts w:ascii="Times New Roman" w:hAnsi="Times New Roman" w:cs="Times New Roman"/>
          <w:color w:val="000000"/>
          <w:szCs w:val="16"/>
        </w:rPr>
        <w:t>, e a lignina de abacaxi com 59 % de carbono e 5231,83 kcal kg</w:t>
      </w:r>
      <w:r w:rsidRPr="00DC688D">
        <w:rPr>
          <w:rFonts w:ascii="Times New Roman" w:hAnsi="Times New Roman" w:cs="Times New Roman"/>
          <w:color w:val="000000"/>
          <w:szCs w:val="16"/>
          <w:vertAlign w:val="superscript"/>
        </w:rPr>
        <w:t>-1</w:t>
      </w:r>
      <w:r w:rsidRPr="00832F41">
        <w:rPr>
          <w:rFonts w:ascii="Times New Roman" w:hAnsi="Times New Roman" w:cs="Times New Roman"/>
          <w:color w:val="000000"/>
          <w:szCs w:val="16"/>
        </w:rPr>
        <w:t>. Algumas pesquisas apontam que o teor de carbono está relacionado ao poder calorífico, por isso quanto maior for o teor de carbono em um composto, maior será o seu potencial energético</w:t>
      </w:r>
      <w:r w:rsidR="009C744A">
        <w:rPr>
          <w:rFonts w:ascii="Times New Roman" w:hAnsi="Times New Roman" w:cs="Times New Roman"/>
          <w:color w:val="000000"/>
          <w:szCs w:val="16"/>
        </w:rPr>
        <w:t xml:space="preserve">, mostrando </w:t>
      </w:r>
      <w:r w:rsidRPr="00832F41">
        <w:rPr>
          <w:rFonts w:ascii="Times New Roman" w:hAnsi="Times New Roman" w:cs="Times New Roman"/>
          <w:color w:val="000000"/>
          <w:szCs w:val="16"/>
        </w:rPr>
        <w:t xml:space="preserve">que ambas têm alto potencial para o aproveitamento calorífico e energético, proporcionando alto rendimento na produção de bioenergia. </w:t>
      </w:r>
    </w:p>
    <w:p w14:paraId="37F4772D" w14:textId="0969B710" w:rsidR="00D84246" w:rsidRPr="00BF6B56" w:rsidRDefault="00832F41" w:rsidP="006B529E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5AAAF08" w14:textId="37E0573D" w:rsidR="003B147B" w:rsidRDefault="003B147B" w:rsidP="006B529E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Palavras-chave.</w:t>
      </w:r>
      <w:r w:rsidRPr="00BF6B56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</w:t>
      </w:r>
      <w:r w:rsidR="00832F41" w:rsidRPr="00832F41">
        <w:rPr>
          <w:rFonts w:ascii="Times New Roman" w:eastAsia="Times New Roman" w:hAnsi="Times New Roman" w:cs="Times New Roman"/>
          <w:bCs/>
          <w:color w:val="000000"/>
          <w:szCs w:val="16"/>
        </w:rPr>
        <w:t>Lignina. Biomassa</w:t>
      </w:r>
      <w:r w:rsidR="00832F41">
        <w:rPr>
          <w:rFonts w:ascii="Times New Roman" w:eastAsia="Times New Roman" w:hAnsi="Times New Roman" w:cs="Times New Roman"/>
          <w:bCs/>
          <w:color w:val="000000"/>
          <w:szCs w:val="16"/>
        </w:rPr>
        <w:t>. Bioenergia. Poder Calorífico.</w:t>
      </w:r>
    </w:p>
    <w:p w14:paraId="48DDE899" w14:textId="77777777" w:rsidR="009C744A" w:rsidRDefault="009C744A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386D88" w14:textId="69AFFDC4" w:rsidR="006B529E" w:rsidRPr="006B529E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Introdução</w:t>
      </w:r>
    </w:p>
    <w:p w14:paraId="38C353CE" w14:textId="77777777" w:rsidR="00832F41" w:rsidRDefault="00832F41" w:rsidP="00832F41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832F41">
        <w:rPr>
          <w:rFonts w:ascii="Times New Roman" w:hAnsi="Times New Roman" w:cs="Times New Roman"/>
          <w:color w:val="000000"/>
        </w:rPr>
        <w:lastRenderedPageBreak/>
        <w:t>A lignina, um dos componentes que constitu</w:t>
      </w:r>
      <w:r>
        <w:rPr>
          <w:rFonts w:ascii="Times New Roman" w:hAnsi="Times New Roman" w:cs="Times New Roman"/>
          <w:color w:val="000000"/>
        </w:rPr>
        <w:t xml:space="preserve">em a biomassa </w:t>
      </w:r>
      <w:proofErr w:type="spellStart"/>
      <w:r>
        <w:rPr>
          <w:rFonts w:ascii="Times New Roman" w:hAnsi="Times New Roman" w:cs="Times New Roman"/>
          <w:color w:val="000000"/>
        </w:rPr>
        <w:t>lignocelulósica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32F41">
        <w:rPr>
          <w:rFonts w:ascii="Times New Roman" w:hAnsi="Times New Roman" w:cs="Times New Roman"/>
          <w:color w:val="000000"/>
        </w:rPr>
        <w:t>provém de recursos renováveis, apresentada estruturalmente, como uma macromolécula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fenólica amorfa, de estrutura complexa, heterogênea, tridimensional, com alto teor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carbono, presente em todos os vegetais e ocupa a posição de segunda macromolécula orgânica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vegetal mais abundante da natureza e a primeira em estruturas aromáticas (SOUTO et al.,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2015).</w:t>
      </w:r>
    </w:p>
    <w:p w14:paraId="32B9169F" w14:textId="77777777" w:rsidR="00832F41" w:rsidRDefault="00832F41" w:rsidP="00832F41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832F41">
        <w:rPr>
          <w:rFonts w:ascii="Times New Roman" w:hAnsi="Times New Roman" w:cs="Times New Roman"/>
          <w:color w:val="000000"/>
        </w:rPr>
        <w:t>Tal fonte renovável tem se tornado uma alternativa</w:t>
      </w:r>
      <w:r>
        <w:rPr>
          <w:rFonts w:ascii="Times New Roman" w:hAnsi="Times New Roman" w:cs="Times New Roman"/>
          <w:color w:val="000000"/>
        </w:rPr>
        <w:t xml:space="preserve"> nos dias atuais, pois reduz os </w:t>
      </w:r>
      <w:r w:rsidRPr="00832F41">
        <w:rPr>
          <w:rFonts w:ascii="Times New Roman" w:hAnsi="Times New Roman" w:cs="Times New Roman"/>
          <w:color w:val="000000"/>
        </w:rPr>
        <w:t>impactos ambientais e disponibiliza energia elétrica a custos reduzidos, além de se tratar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uma fonte de energia limpa e renovável, a lignina pode ser utilizada para produzir energia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através de uma usina termelétrica, ou seja, cogeração de energia elétrica a partir de sua</w:t>
      </w:r>
      <w:r>
        <w:rPr>
          <w:rFonts w:ascii="Times New Roman" w:hAnsi="Times New Roman" w:cs="Times New Roman"/>
          <w:color w:val="000000"/>
        </w:rPr>
        <w:t xml:space="preserve"> </w:t>
      </w:r>
      <w:r w:rsidRPr="00832F41">
        <w:rPr>
          <w:rFonts w:ascii="Times New Roman" w:hAnsi="Times New Roman" w:cs="Times New Roman"/>
          <w:color w:val="000000"/>
        </w:rPr>
        <w:t>queima (FERNANDES; MIGUEL, 2011).</w:t>
      </w:r>
    </w:p>
    <w:p w14:paraId="3467ED8D" w14:textId="14755771" w:rsidR="00DE5635" w:rsidRDefault="00DE5635" w:rsidP="00DE563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Essa energia proveniente de fontes orgânicas ou biomassas</w:t>
      </w:r>
      <w:proofErr w:type="gramStart"/>
      <w:r>
        <w:rPr>
          <w:rFonts w:ascii="Times New Roman" w:hAnsi="Times New Roman" w:cs="Times New Roman"/>
          <w:color w:val="000000"/>
        </w:rPr>
        <w:t>, acarretam</w:t>
      </w:r>
      <w:proofErr w:type="gramEnd"/>
      <w:r>
        <w:rPr>
          <w:rFonts w:ascii="Times New Roman" w:hAnsi="Times New Roman" w:cs="Times New Roman"/>
          <w:color w:val="000000"/>
        </w:rPr>
        <w:t xml:space="preserve"> vantagens como: baixo </w:t>
      </w:r>
      <w:r w:rsidRPr="00DE5635">
        <w:rPr>
          <w:rFonts w:ascii="Times New Roman" w:hAnsi="Times New Roman" w:cs="Times New Roman"/>
          <w:color w:val="000000"/>
        </w:rPr>
        <w:t>custo,  permite o reaproveitamento de resíduos</w:t>
      </w:r>
      <w:r w:rsidR="00FB5B0B">
        <w:rPr>
          <w:rFonts w:ascii="Times New Roman" w:hAnsi="Times New Roman" w:cs="Times New Roman"/>
          <w:color w:val="000000"/>
        </w:rPr>
        <w:t>,</w:t>
      </w:r>
      <w:r w:rsidRPr="00DE5635">
        <w:rPr>
          <w:rFonts w:ascii="Times New Roman" w:hAnsi="Times New Roman" w:cs="Times New Roman"/>
          <w:color w:val="000000"/>
        </w:rPr>
        <w:t xml:space="preserve"> </w:t>
      </w:r>
      <w:r w:rsidR="00FB5B0B" w:rsidRPr="00DE5635">
        <w:rPr>
          <w:rFonts w:ascii="Times New Roman" w:hAnsi="Times New Roman" w:cs="Times New Roman"/>
          <w:color w:val="000000"/>
        </w:rPr>
        <w:t xml:space="preserve">ser renovável </w:t>
      </w:r>
      <w:r w:rsidR="00FB5B0B">
        <w:rPr>
          <w:rFonts w:ascii="Times New Roman" w:hAnsi="Times New Roman" w:cs="Times New Roman"/>
          <w:color w:val="000000"/>
        </w:rPr>
        <w:t>,</w:t>
      </w:r>
      <w:r w:rsidR="00FB5B0B" w:rsidRPr="00DE5635">
        <w:rPr>
          <w:rFonts w:ascii="Times New Roman" w:hAnsi="Times New Roman" w:cs="Times New Roman"/>
          <w:color w:val="000000"/>
        </w:rPr>
        <w:t xml:space="preserve"> </w:t>
      </w:r>
      <w:r w:rsidR="00FB5B0B">
        <w:rPr>
          <w:rFonts w:ascii="Times New Roman" w:hAnsi="Times New Roman" w:cs="Times New Roman"/>
          <w:color w:val="000000"/>
        </w:rPr>
        <w:t xml:space="preserve">e por isso, </w:t>
      </w:r>
      <w:r w:rsidR="00FB5B0B" w:rsidRPr="00DE5635">
        <w:rPr>
          <w:rFonts w:ascii="Times New Roman" w:hAnsi="Times New Roman" w:cs="Times New Roman"/>
          <w:color w:val="000000"/>
        </w:rPr>
        <w:t xml:space="preserve">é menos poluente </w:t>
      </w:r>
      <w:r w:rsidRPr="00DE5635">
        <w:rPr>
          <w:rFonts w:ascii="Times New Roman" w:hAnsi="Times New Roman" w:cs="Times New Roman"/>
          <w:color w:val="000000"/>
        </w:rPr>
        <w:t>que outras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formas de energia como aquela obtida a partir da utilização de combustíveis fósseis como o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petróleo e</w:t>
      </w:r>
      <w:r>
        <w:rPr>
          <w:rFonts w:ascii="Times New Roman" w:hAnsi="Times New Roman" w:cs="Times New Roman"/>
          <w:color w:val="000000"/>
        </w:rPr>
        <w:t xml:space="preserve"> o carvão mineral (SACCO, 2008). Outro destaque </w:t>
      </w:r>
      <w:r w:rsidR="00FB5B0B">
        <w:rPr>
          <w:rFonts w:ascii="Times New Roman" w:hAnsi="Times New Roman" w:cs="Times New Roman"/>
          <w:color w:val="000000"/>
        </w:rPr>
        <w:t xml:space="preserve">positivo </w:t>
      </w:r>
      <w:r>
        <w:rPr>
          <w:rFonts w:ascii="Times New Roman" w:hAnsi="Times New Roman" w:cs="Times New Roman"/>
          <w:color w:val="000000"/>
        </w:rPr>
        <w:t xml:space="preserve">para esse material, é que embora tenha eficiência </w:t>
      </w:r>
      <w:r w:rsidRPr="00DE5635">
        <w:rPr>
          <w:rFonts w:ascii="Times New Roman" w:hAnsi="Times New Roman" w:cs="Times New Roman"/>
          <w:color w:val="000000"/>
        </w:rPr>
        <w:t>reduzida, seu aproveitamento pode ser feito diretamente, por intermédio da combustão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fornos e caldeiras. E para melhorar sua eficiência de processo e minimizar os impactos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socioambientais, novas tecnologias de conversão mais eficientes vem sendo desenvolvidas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aperfeiçoadas, como a gaseificação e a pirólise, sendo comum a cogeração em sistemas que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utilizam a biomassa como fonte energética (FERNANDES; MIGUEL, 2011).</w:t>
      </w:r>
    </w:p>
    <w:p w14:paraId="2B89F93E" w14:textId="54B0F3CE" w:rsidR="00DE5635" w:rsidRDefault="00DE5635" w:rsidP="00DE563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E5635">
        <w:rPr>
          <w:rFonts w:ascii="Times New Roman" w:hAnsi="Times New Roman" w:cs="Times New Roman"/>
          <w:color w:val="000000"/>
        </w:rPr>
        <w:t>Dentre as aplicações da biomassa, dest</w:t>
      </w:r>
      <w:r>
        <w:rPr>
          <w:rFonts w:ascii="Times New Roman" w:hAnsi="Times New Roman" w:cs="Times New Roman"/>
          <w:color w:val="000000"/>
        </w:rPr>
        <w:t xml:space="preserve">aca-se o emprego na produção de </w:t>
      </w:r>
      <w:r w:rsidRPr="00DE5635">
        <w:rPr>
          <w:rFonts w:ascii="Times New Roman" w:hAnsi="Times New Roman" w:cs="Times New Roman"/>
          <w:color w:val="000000"/>
        </w:rPr>
        <w:t>combustíveis sólidos, líquidos e gasosos. De acordo com ANDRADE (2015), existem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características fundamentais que capacitam determinada biomassa </w:t>
      </w:r>
      <w:proofErr w:type="spellStart"/>
      <w:r w:rsidRPr="00DE5635">
        <w:rPr>
          <w:rFonts w:ascii="Times New Roman" w:hAnsi="Times New Roman" w:cs="Times New Roman"/>
          <w:color w:val="000000"/>
        </w:rPr>
        <w:t>lignocelulósica</w:t>
      </w:r>
      <w:proofErr w:type="spellEnd"/>
      <w:r w:rsidRPr="00DE5635">
        <w:rPr>
          <w:rFonts w:ascii="Times New Roman" w:hAnsi="Times New Roman" w:cs="Times New Roman"/>
          <w:color w:val="000000"/>
        </w:rPr>
        <w:t xml:space="preserve">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aplicação de um bom combustível, como alto poder colorífico, baixa temperatura de ignição,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elevado teor de voláteis, baixa energia de ativação e baixo teor de cinzas. Esses parâmetros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dependem não só da composição de cada biomassa, mas também de fatores operacionais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durante a conversão térmica.</w:t>
      </w:r>
    </w:p>
    <w:p w14:paraId="23860C31" w14:textId="236CD631" w:rsidR="00DE5635" w:rsidRDefault="00DE5635" w:rsidP="00DE563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o</w:t>
      </w:r>
      <w:r w:rsidRPr="00DE5635">
        <w:rPr>
          <w:rFonts w:ascii="Times New Roman" w:hAnsi="Times New Roman" w:cs="Times New Roman"/>
          <w:color w:val="000000"/>
        </w:rPr>
        <w:t xml:space="preserve"> presente trabalho</w:t>
      </w:r>
      <w:r>
        <w:rPr>
          <w:rFonts w:ascii="Times New Roman" w:hAnsi="Times New Roman" w:cs="Times New Roman"/>
          <w:color w:val="000000"/>
        </w:rPr>
        <w:t xml:space="preserve">, </w:t>
      </w:r>
      <w:r w:rsidR="00FB5B0B">
        <w:rPr>
          <w:rFonts w:ascii="Times New Roman" w:hAnsi="Times New Roman" w:cs="Times New Roman"/>
          <w:color w:val="000000"/>
        </w:rPr>
        <w:t>foram escolhidos</w:t>
      </w:r>
      <w:r>
        <w:rPr>
          <w:rFonts w:ascii="Times New Roman" w:hAnsi="Times New Roman" w:cs="Times New Roman"/>
          <w:color w:val="000000"/>
        </w:rPr>
        <w:t xml:space="preserve"> dois tipos de ligninas provenientes de biomassas diferentes: lignina de bagaço de cana-de-açúcar e lignina das cascas de abacaxi. A primeira delas, proveniente d</w:t>
      </w:r>
      <w:r w:rsidR="00527D60">
        <w:rPr>
          <w:rFonts w:ascii="Times New Roman" w:hAnsi="Times New Roman" w:cs="Times New Roman"/>
          <w:color w:val="000000"/>
        </w:rPr>
        <w:t xml:space="preserve">as indústrias sucroalcooleiras, </w:t>
      </w:r>
      <w:r w:rsidR="00FB5B0B">
        <w:rPr>
          <w:rFonts w:ascii="Times New Roman" w:hAnsi="Times New Roman" w:cs="Times New Roman"/>
          <w:color w:val="000000"/>
        </w:rPr>
        <w:t xml:space="preserve">em que o </w:t>
      </w:r>
      <w:r w:rsidR="00527D60">
        <w:rPr>
          <w:rFonts w:ascii="Times New Roman" w:hAnsi="Times New Roman" w:cs="Times New Roman"/>
          <w:color w:val="000000"/>
        </w:rPr>
        <w:t xml:space="preserve">Brasil está em primeiro </w:t>
      </w:r>
      <w:r w:rsidR="00527D60">
        <w:rPr>
          <w:rFonts w:ascii="Times New Roman" w:hAnsi="Times New Roman" w:cs="Times New Roman"/>
          <w:color w:val="000000"/>
        </w:rPr>
        <w:lastRenderedPageBreak/>
        <w:t xml:space="preserve">lugar </w:t>
      </w:r>
      <w:r w:rsidR="005D607C">
        <w:rPr>
          <w:rFonts w:ascii="Times New Roman" w:hAnsi="Times New Roman" w:cs="Times New Roman"/>
          <w:color w:val="000000"/>
        </w:rPr>
        <w:t xml:space="preserve">como </w:t>
      </w:r>
      <w:r w:rsidR="00527D60">
        <w:rPr>
          <w:rFonts w:ascii="Times New Roman" w:hAnsi="Times New Roman" w:cs="Times New Roman"/>
          <w:color w:val="000000"/>
        </w:rPr>
        <w:t xml:space="preserve">maior produtor de cana-de-açúcar, e maior produtor de resíduo industrial (bagaço e palha); e a segunda lignina </w:t>
      </w:r>
      <w:r w:rsidR="005D607C">
        <w:rPr>
          <w:rFonts w:ascii="Times New Roman" w:hAnsi="Times New Roman" w:cs="Times New Roman"/>
          <w:color w:val="000000"/>
        </w:rPr>
        <w:t xml:space="preserve">é </w:t>
      </w:r>
      <w:r w:rsidR="00527D60">
        <w:rPr>
          <w:rFonts w:ascii="Times New Roman" w:hAnsi="Times New Roman" w:cs="Times New Roman"/>
          <w:color w:val="000000"/>
        </w:rPr>
        <w:t xml:space="preserve">proveniente das indústrias de sucos e compotas de abacaxi, onde </w:t>
      </w:r>
      <w:r w:rsidR="005D607C">
        <w:rPr>
          <w:rFonts w:ascii="Times New Roman" w:hAnsi="Times New Roman" w:cs="Times New Roman"/>
          <w:color w:val="000000"/>
        </w:rPr>
        <w:t xml:space="preserve">é </w:t>
      </w:r>
      <w:r w:rsidR="005D607C" w:rsidRPr="00527D60">
        <w:rPr>
          <w:rFonts w:ascii="Times New Roman" w:hAnsi="Times New Roman" w:cs="Times New Roman"/>
          <w:color w:val="000000"/>
        </w:rPr>
        <w:t>gera</w:t>
      </w:r>
      <w:r w:rsidR="005D607C">
        <w:rPr>
          <w:rFonts w:ascii="Times New Roman" w:hAnsi="Times New Roman" w:cs="Times New Roman"/>
          <w:color w:val="000000"/>
        </w:rPr>
        <w:t>do</w:t>
      </w:r>
      <w:r w:rsidR="005D607C" w:rsidRPr="00527D60">
        <w:rPr>
          <w:rFonts w:ascii="Times New Roman" w:hAnsi="Times New Roman" w:cs="Times New Roman"/>
          <w:color w:val="000000"/>
        </w:rPr>
        <w:t xml:space="preserve"> </w:t>
      </w:r>
      <w:r w:rsidR="00527D60" w:rsidRPr="00527D60">
        <w:rPr>
          <w:rFonts w:ascii="Times New Roman" w:hAnsi="Times New Roman" w:cs="Times New Roman"/>
          <w:color w:val="000000"/>
        </w:rPr>
        <w:t>em média 50 % do peso total da matéria-prima em resíduos sólidos</w:t>
      </w:r>
      <w:r w:rsidR="00527D60">
        <w:rPr>
          <w:rFonts w:ascii="Times New Roman" w:hAnsi="Times New Roman" w:cs="Times New Roman"/>
          <w:color w:val="000000"/>
        </w:rPr>
        <w:t>.</w:t>
      </w:r>
      <w:r w:rsidRPr="00DE5635">
        <w:rPr>
          <w:rFonts w:ascii="Times New Roman" w:hAnsi="Times New Roman" w:cs="Times New Roman"/>
          <w:color w:val="000000"/>
        </w:rPr>
        <w:t xml:space="preserve"> </w:t>
      </w:r>
      <w:r w:rsidR="00527D60">
        <w:rPr>
          <w:rFonts w:ascii="Times New Roman" w:hAnsi="Times New Roman" w:cs="Times New Roman"/>
          <w:color w:val="000000"/>
        </w:rPr>
        <w:t>Assim,</w:t>
      </w:r>
      <w:r w:rsidRPr="00DE5635">
        <w:rPr>
          <w:rFonts w:ascii="Times New Roman" w:hAnsi="Times New Roman" w:cs="Times New Roman"/>
          <w:color w:val="000000"/>
        </w:rPr>
        <w:t xml:space="preserve"> </w:t>
      </w:r>
      <w:r w:rsidR="00527D60">
        <w:rPr>
          <w:rFonts w:ascii="Times New Roman" w:hAnsi="Times New Roman" w:cs="Times New Roman"/>
          <w:color w:val="000000"/>
        </w:rPr>
        <w:t>foram feitas caracterizações</w:t>
      </w:r>
      <w:r w:rsidR="005D607C">
        <w:rPr>
          <w:rFonts w:ascii="Times New Roman" w:hAnsi="Times New Roman" w:cs="Times New Roman"/>
          <w:color w:val="000000"/>
        </w:rPr>
        <w:t xml:space="preserve"> das amostras</w:t>
      </w:r>
      <w:r w:rsidR="00527D60">
        <w:rPr>
          <w:rFonts w:ascii="Times New Roman" w:hAnsi="Times New Roman" w:cs="Times New Roman"/>
          <w:color w:val="000000"/>
        </w:rPr>
        <w:t xml:space="preserve">, </w:t>
      </w:r>
      <w:r w:rsidR="005D607C">
        <w:rPr>
          <w:rFonts w:ascii="Times New Roman" w:hAnsi="Times New Roman" w:cs="Times New Roman"/>
          <w:color w:val="000000"/>
        </w:rPr>
        <w:t xml:space="preserve">e determinações energéticas </w:t>
      </w:r>
      <w:r w:rsidR="00527D60">
        <w:rPr>
          <w:rFonts w:ascii="Times New Roman" w:hAnsi="Times New Roman" w:cs="Times New Roman"/>
          <w:color w:val="000000"/>
        </w:rPr>
        <w:t xml:space="preserve">do ponto de vista termodinâmico, </w:t>
      </w:r>
      <w:r w:rsidRPr="00DE5635">
        <w:rPr>
          <w:rFonts w:ascii="Times New Roman" w:hAnsi="Times New Roman" w:cs="Times New Roman"/>
          <w:color w:val="000000"/>
        </w:rPr>
        <w:t>focando no estudo calorífico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individual de cada </w:t>
      </w:r>
      <w:r w:rsidR="005D607C">
        <w:rPr>
          <w:rFonts w:ascii="Times New Roman" w:hAnsi="Times New Roman" w:cs="Times New Roman"/>
          <w:color w:val="000000"/>
        </w:rPr>
        <w:t>uma</w:t>
      </w:r>
      <w:r w:rsidR="005D607C" w:rsidRPr="00DE5635"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>e correlacionando essas energias caloríficas com a da biomassa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origem, com o intuito de avaliar </w:t>
      </w:r>
      <w:r w:rsidR="005D607C">
        <w:rPr>
          <w:rFonts w:ascii="Times New Roman" w:hAnsi="Times New Roman" w:cs="Times New Roman"/>
          <w:color w:val="000000"/>
        </w:rPr>
        <w:t>seu</w:t>
      </w:r>
      <w:r w:rsidR="005D607C" w:rsidRPr="00DE5635">
        <w:rPr>
          <w:rFonts w:ascii="Times New Roman" w:hAnsi="Times New Roman" w:cs="Times New Roman"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melhor aproveitamento energético. </w:t>
      </w:r>
    </w:p>
    <w:p w14:paraId="16525A5C" w14:textId="1D8CEA3D" w:rsidR="00FA6194" w:rsidRDefault="00527D60" w:rsidP="00527D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Material e Métodos</w:t>
      </w:r>
    </w:p>
    <w:p w14:paraId="47CAD47A" w14:textId="5B72DC3B" w:rsidR="005A5FFB" w:rsidRPr="005A5FFB" w:rsidRDefault="005A5FFB" w:rsidP="00CD33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A5FFB">
        <w:rPr>
          <w:rFonts w:ascii="Times New Roman" w:hAnsi="Times New Roman" w:cs="Times New Roman"/>
          <w:color w:val="000000"/>
        </w:rPr>
        <w:t xml:space="preserve">As ligninas foram extraídas através da deslignificação em meio básico com </w:t>
      </w:r>
      <w:proofErr w:type="spellStart"/>
      <w:r w:rsidRPr="005A5FFB">
        <w:rPr>
          <w:rFonts w:ascii="Times New Roman" w:hAnsi="Times New Roman" w:cs="Times New Roman"/>
          <w:color w:val="000000"/>
        </w:rPr>
        <w:t>NaOH</w:t>
      </w:r>
      <w:proofErr w:type="spellEnd"/>
      <w:r w:rsidRPr="005A5FFB">
        <w:rPr>
          <w:rFonts w:ascii="Times New Roman" w:hAnsi="Times New Roman" w:cs="Times New Roman"/>
          <w:color w:val="000000"/>
        </w:rPr>
        <w:t>, na qual as biomassas foram colocadas em presença de hidróxido de sódio e levadas a um reator a 170 °C obtendo um licor negro. A lignina foi então precipitada com ácido sulfúrico (QUINELATO, 2016). De cada biomassa, obteve-se um tipo de lignina, que foi submetida aos estudos de ca</w:t>
      </w:r>
      <w:r>
        <w:rPr>
          <w:rFonts w:ascii="Times New Roman" w:hAnsi="Times New Roman" w:cs="Times New Roman"/>
          <w:color w:val="000000"/>
        </w:rPr>
        <w:t xml:space="preserve">racterização e análise térmica, sendo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LigBg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 lignina extraída do bagaço de </w:t>
      </w:r>
      <w:r w:rsidRPr="005A5FFB">
        <w:rPr>
          <w:rFonts w:ascii="Times New Roman" w:hAnsi="Times New Roman" w:cs="Times New Roman"/>
          <w:color w:val="000000"/>
        </w:rPr>
        <w:t xml:space="preserve">cana </w:t>
      </w:r>
      <w:r>
        <w:rPr>
          <w:rFonts w:ascii="Times New Roman" w:hAnsi="Times New Roman" w:cs="Times New Roman"/>
          <w:color w:val="000000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</w:rPr>
        <w:t>LigA</w:t>
      </w:r>
      <w:proofErr w:type="spellEnd"/>
      <w:r>
        <w:rPr>
          <w:rFonts w:ascii="Times New Roman" w:hAnsi="Times New Roman" w:cs="Times New Roman"/>
          <w:color w:val="000000"/>
        </w:rPr>
        <w:t xml:space="preserve"> a lignina extraída das</w:t>
      </w:r>
      <w:r w:rsidRPr="005A5FFB">
        <w:rPr>
          <w:rFonts w:ascii="Times New Roman" w:hAnsi="Times New Roman" w:cs="Times New Roman"/>
          <w:color w:val="000000"/>
        </w:rPr>
        <w:t xml:space="preserve"> casca</w:t>
      </w:r>
      <w:r>
        <w:rPr>
          <w:rFonts w:ascii="Times New Roman" w:hAnsi="Times New Roman" w:cs="Times New Roman"/>
          <w:color w:val="000000"/>
        </w:rPr>
        <w:t>s</w:t>
      </w:r>
      <w:r w:rsidRPr="005A5FFB">
        <w:rPr>
          <w:rFonts w:ascii="Times New Roman" w:hAnsi="Times New Roman" w:cs="Times New Roman"/>
          <w:color w:val="000000"/>
        </w:rPr>
        <w:t xml:space="preserve"> do </w:t>
      </w:r>
      <w:r w:rsidRPr="005A5FFB">
        <w:rPr>
          <w:rFonts w:ascii="Times New Roman" w:hAnsi="Times New Roman" w:cs="Times New Roman"/>
          <w:color w:val="000000"/>
        </w:rPr>
        <w:t>abacaxi</w:t>
      </w:r>
      <w:r>
        <w:rPr>
          <w:rFonts w:ascii="Times New Roman" w:hAnsi="Times New Roman" w:cs="Times New Roman"/>
          <w:color w:val="000000"/>
        </w:rPr>
        <w:t>.</w:t>
      </w:r>
    </w:p>
    <w:p w14:paraId="3BB40850" w14:textId="565F572B" w:rsidR="005A5FFB" w:rsidRPr="005A5FFB" w:rsidRDefault="005A5FFB" w:rsidP="005A5FF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Caracterização e Análise térmica das ligninas</w:t>
      </w:r>
    </w:p>
    <w:p w14:paraId="47D09B2C" w14:textId="40AAD7AA" w:rsidR="005A5FFB" w:rsidRDefault="005A5FFB" w:rsidP="00CD33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A5FFB">
        <w:rPr>
          <w:rFonts w:ascii="Times New Roman" w:hAnsi="Times New Roman" w:cs="Times New Roman"/>
          <w:color w:val="000000"/>
        </w:rPr>
        <w:t xml:space="preserve">A metodologia se baseou em duas partes: a primeira envolve a caracterização das ligninas, com Espectrometria no infravermelho com </w:t>
      </w:r>
      <w:r w:rsidR="003628B8">
        <w:rPr>
          <w:rFonts w:ascii="Times New Roman" w:hAnsi="Times New Roman" w:cs="Times New Roman"/>
          <w:color w:val="000000"/>
        </w:rPr>
        <w:t>transformada de Fourier (FTIR)</w:t>
      </w:r>
      <w:r w:rsidR="000B2974">
        <w:rPr>
          <w:rFonts w:ascii="Times New Roman" w:hAnsi="Times New Roman" w:cs="Times New Roman"/>
          <w:color w:val="000000"/>
        </w:rPr>
        <w:t xml:space="preserve">, </w:t>
      </w:r>
      <w:r w:rsidR="000B2974" w:rsidRPr="005A5FFB">
        <w:rPr>
          <w:rFonts w:ascii="Times New Roman" w:hAnsi="Times New Roman" w:cs="Times New Roman"/>
          <w:color w:val="000000"/>
        </w:rPr>
        <w:t>Análise</w:t>
      </w:r>
      <w:r w:rsidR="000B2974">
        <w:rPr>
          <w:rFonts w:ascii="Times New Roman" w:hAnsi="Times New Roman" w:cs="Times New Roman"/>
          <w:color w:val="000000"/>
        </w:rPr>
        <w:t xml:space="preserve"> elementar das ligninas (CHNSO) </w:t>
      </w:r>
      <w:r w:rsidR="00CD331E">
        <w:rPr>
          <w:rFonts w:ascii="Times New Roman" w:hAnsi="Times New Roman" w:cs="Times New Roman"/>
          <w:color w:val="000000"/>
        </w:rPr>
        <w:t>e Teores de Cinzas e Umidade. N</w:t>
      </w:r>
      <w:r w:rsidRPr="005A5FFB">
        <w:rPr>
          <w:rFonts w:ascii="Times New Roman" w:hAnsi="Times New Roman" w:cs="Times New Roman"/>
          <w:color w:val="000000"/>
        </w:rPr>
        <w:t>a segunda</w:t>
      </w:r>
      <w:r w:rsidR="00CD331E">
        <w:rPr>
          <w:rFonts w:ascii="Times New Roman" w:hAnsi="Times New Roman" w:cs="Times New Roman"/>
          <w:color w:val="000000"/>
        </w:rPr>
        <w:t xml:space="preserve"> etapa</w:t>
      </w:r>
      <w:r w:rsidRPr="005A5FFB">
        <w:rPr>
          <w:rFonts w:ascii="Times New Roman" w:hAnsi="Times New Roman" w:cs="Times New Roman"/>
          <w:color w:val="000000"/>
        </w:rPr>
        <w:t>,</w:t>
      </w:r>
      <w:r w:rsidR="00CD331E">
        <w:rPr>
          <w:rFonts w:ascii="Times New Roman" w:hAnsi="Times New Roman" w:cs="Times New Roman"/>
          <w:color w:val="000000"/>
        </w:rPr>
        <w:t xml:space="preserve"> o</w:t>
      </w:r>
      <w:r w:rsidRPr="005A5FFB">
        <w:rPr>
          <w:rFonts w:ascii="Times New Roman" w:hAnsi="Times New Roman" w:cs="Times New Roman"/>
          <w:color w:val="000000"/>
        </w:rPr>
        <w:t xml:space="preserve"> obj</w:t>
      </w:r>
      <w:r w:rsidR="00CD331E">
        <w:rPr>
          <w:rFonts w:ascii="Times New Roman" w:hAnsi="Times New Roman" w:cs="Times New Roman"/>
          <w:color w:val="000000"/>
        </w:rPr>
        <w:t>etivo</w:t>
      </w:r>
      <w:r w:rsidRPr="005A5FFB">
        <w:rPr>
          <w:rFonts w:ascii="Times New Roman" w:hAnsi="Times New Roman" w:cs="Times New Roman"/>
          <w:color w:val="000000"/>
        </w:rPr>
        <w:t xml:space="preserve"> central deste trabalho, </w:t>
      </w:r>
      <w:r w:rsidR="00CD331E">
        <w:rPr>
          <w:rFonts w:ascii="Times New Roman" w:hAnsi="Times New Roman" w:cs="Times New Roman"/>
          <w:color w:val="000000"/>
        </w:rPr>
        <w:t xml:space="preserve">foi </w:t>
      </w:r>
      <w:r w:rsidRPr="005A5FFB">
        <w:rPr>
          <w:rFonts w:ascii="Times New Roman" w:hAnsi="Times New Roman" w:cs="Times New Roman"/>
          <w:color w:val="000000"/>
        </w:rPr>
        <w:t xml:space="preserve">na determinação do conteúdo energético das amostras, </w:t>
      </w:r>
      <w:r w:rsidR="00CD331E">
        <w:rPr>
          <w:rFonts w:ascii="Times New Roman" w:hAnsi="Times New Roman" w:cs="Times New Roman"/>
          <w:color w:val="000000"/>
        </w:rPr>
        <w:t>com foco em</w:t>
      </w:r>
      <w:r w:rsidRPr="005A5FFB">
        <w:rPr>
          <w:rFonts w:ascii="Times New Roman" w:hAnsi="Times New Roman" w:cs="Times New Roman"/>
          <w:color w:val="000000"/>
        </w:rPr>
        <w:t xml:space="preserve"> </w:t>
      </w:r>
      <w:r w:rsidR="00CD331E" w:rsidRPr="00CD331E">
        <w:rPr>
          <w:rFonts w:ascii="Times New Roman" w:hAnsi="Times New Roman" w:cs="Times New Roman"/>
          <w:color w:val="000000"/>
        </w:rPr>
        <w:t>Análise calorimétrica exploratória diferencial (DSC)</w:t>
      </w:r>
      <w:r w:rsidRPr="005A5FFB">
        <w:rPr>
          <w:rFonts w:ascii="Times New Roman" w:hAnsi="Times New Roman" w:cs="Times New Roman"/>
          <w:color w:val="000000"/>
        </w:rPr>
        <w:t xml:space="preserve"> e Poder Calorífico.</w:t>
      </w:r>
    </w:p>
    <w:p w14:paraId="7D9C0EC9" w14:textId="66F02303" w:rsidR="00527D60" w:rsidRDefault="00527D60" w:rsidP="00527D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Resultados e discussão</w:t>
      </w:r>
    </w:p>
    <w:p w14:paraId="781E95CF" w14:textId="77777777" w:rsidR="00CD331E" w:rsidRPr="00CD331E" w:rsidRDefault="00CD331E" w:rsidP="00CD331E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CD331E">
        <w:rPr>
          <w:rFonts w:ascii="Times New Roman" w:hAnsi="Times New Roman" w:cs="Times New Roman"/>
          <w:i/>
          <w:color w:val="000000"/>
        </w:rPr>
        <w:t>Espectrometria no infravermelho com transformada de Fourier (FTIR)</w:t>
      </w:r>
    </w:p>
    <w:p w14:paraId="288C20EF" w14:textId="68F240BA" w:rsidR="00CD331E" w:rsidRPr="00CD331E" w:rsidRDefault="000C6B0A" w:rsidP="00CD331E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D331E">
        <w:rPr>
          <w:rFonts w:ascii="Times New Roman" w:hAnsi="Times New Roman" w:cs="Times New Roman"/>
          <w:color w:val="000000"/>
        </w:rPr>
        <w:t>Os espectros possuem ba</w:t>
      </w:r>
      <w:r w:rsidR="000B2974">
        <w:rPr>
          <w:rFonts w:ascii="Times New Roman" w:hAnsi="Times New Roman" w:cs="Times New Roman"/>
          <w:color w:val="000000"/>
        </w:rPr>
        <w:t xml:space="preserve">ndas características de lignina, </w:t>
      </w:r>
      <w:r w:rsidRPr="00CD331E">
        <w:rPr>
          <w:rFonts w:ascii="Times New Roman" w:hAnsi="Times New Roman" w:cs="Times New Roman"/>
          <w:color w:val="000000"/>
        </w:rPr>
        <w:t>contendo função mais descritiva e de confirmação da presença de grupos característicos das mesmas</w:t>
      </w:r>
      <w:r>
        <w:rPr>
          <w:rFonts w:ascii="Times New Roman" w:hAnsi="Times New Roman" w:cs="Times New Roman"/>
          <w:color w:val="000000"/>
        </w:rPr>
        <w:t xml:space="preserve">, como pode ser observado na Figura </w:t>
      </w:r>
      <w:r w:rsidR="00CC0374">
        <w:rPr>
          <w:rFonts w:ascii="Times New Roman" w:hAnsi="Times New Roman" w:cs="Times New Roman"/>
          <w:color w:val="000000"/>
        </w:rPr>
        <w:t>1</w:t>
      </w:r>
      <w:r w:rsidRPr="00CD331E">
        <w:rPr>
          <w:rFonts w:ascii="Times New Roman" w:hAnsi="Times New Roman" w:cs="Times New Roman"/>
          <w:color w:val="000000"/>
        </w:rPr>
        <w:t>. Todos os espectros se assemelham em algumas bandas, alterando principalmente na intensidade e em sua estrutura molecular. Isso porque as bandas elementares podem ser atribuídas a determinados tipos de vibrações moleculares das unidades de formação da lignina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33B96EB4" w14:textId="5DBEC92D" w:rsidR="007C2507" w:rsidRPr="007C2507" w:rsidRDefault="007C2507" w:rsidP="007C2507">
      <w:pPr>
        <w:pStyle w:val="Legenda"/>
        <w:keepNext/>
        <w:jc w:val="center"/>
        <w:rPr>
          <w:rFonts w:ascii="Times New Roman" w:hAnsi="Times New Roman" w:cs="Times New Roman"/>
          <w:i w:val="0"/>
        </w:rPr>
      </w:pPr>
      <w:r w:rsidRPr="007C2507">
        <w:rPr>
          <w:rFonts w:ascii="Times New Roman" w:hAnsi="Times New Roman" w:cs="Times New Roman"/>
          <w:i w:val="0"/>
          <w:color w:val="auto"/>
          <w:sz w:val="22"/>
        </w:rPr>
        <w:lastRenderedPageBreak/>
        <w:t xml:space="preserve">Figura </w:t>
      </w:r>
      <w:r w:rsidRPr="007C2507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7C2507">
        <w:rPr>
          <w:rFonts w:ascii="Times New Roman" w:hAnsi="Times New Roman" w:cs="Times New Roman"/>
          <w:i w:val="0"/>
          <w:color w:val="auto"/>
          <w:sz w:val="22"/>
        </w:rPr>
        <w:instrText xml:space="preserve"> SEQ Figura \* ARABIC </w:instrText>
      </w:r>
      <w:r w:rsidRPr="007C2507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="00380DDC">
        <w:rPr>
          <w:rFonts w:ascii="Times New Roman" w:hAnsi="Times New Roman" w:cs="Times New Roman"/>
          <w:i w:val="0"/>
          <w:noProof/>
          <w:color w:val="auto"/>
          <w:sz w:val="22"/>
        </w:rPr>
        <w:t>1</w:t>
      </w:r>
      <w:r w:rsidRPr="007C2507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7C2507">
        <w:rPr>
          <w:rFonts w:ascii="Times New Roman" w:hAnsi="Times New Roman" w:cs="Times New Roman"/>
          <w:i w:val="0"/>
          <w:color w:val="auto"/>
          <w:sz w:val="22"/>
        </w:rPr>
        <w:t>. Espectro na região do infravermelho das amostras.</w:t>
      </w:r>
    </w:p>
    <w:p w14:paraId="06FA2AE1" w14:textId="59E6EB12" w:rsidR="007C2507" w:rsidRPr="007C2507" w:rsidRDefault="007C2507" w:rsidP="007C2507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lang w:eastAsia="pt-BR"/>
        </w:rPr>
        <w:drawing>
          <wp:inline distT="0" distB="0" distL="0" distR="0" wp14:anchorId="3D4BE484" wp14:editId="3E522F00">
            <wp:extent cx="3203617" cy="2520000"/>
            <wp:effectExtent l="0" t="0" r="0" b="0"/>
            <wp:docPr id="1" name="Imagem 1" descr="C:\Users\Public\Documents\Documents\Origin User Files\Graph-FTI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Origin User Files\Graph-FTI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t="9501" r="8652" b="1188"/>
                    <a:stretch/>
                  </pic:blipFill>
                  <pic:spPr bwMode="auto">
                    <a:xfrm>
                      <a:off x="0" y="0"/>
                      <a:ext cx="320361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0"/>
        </w:rPr>
        <w:br/>
      </w:r>
      <w:r w:rsidRPr="00A4324F">
        <w:rPr>
          <w:rFonts w:ascii="Times New Roman" w:hAnsi="Times New Roman" w:cs="Times New Roman"/>
          <w:color w:val="000000"/>
          <w:sz w:val="20"/>
        </w:rPr>
        <w:t>Fonte: Autoria Própria, 2019.</w:t>
      </w:r>
    </w:p>
    <w:p w14:paraId="26C9985B" w14:textId="4A542ACB" w:rsidR="00CD331E" w:rsidRPr="00CD331E" w:rsidRDefault="001817C5" w:rsidP="00CD331E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tabela 1, observam-se as principais frequências apresentadas para cada amostra, enquanto na Tabela 2, o que essas atribuições representam na organização da estrutura da cadeia carbônica de ambas.</w:t>
      </w:r>
    </w:p>
    <w:p w14:paraId="0EA9276D" w14:textId="3825010E" w:rsidR="00CD331E" w:rsidRDefault="007C2507" w:rsidP="00CD331E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Tabela 1. </w:t>
      </w:r>
      <w:r w:rsidR="00CD331E" w:rsidRPr="00CD331E">
        <w:rPr>
          <w:rFonts w:ascii="Times New Roman" w:hAnsi="Times New Roman" w:cs="Times New Roman"/>
          <w:color w:val="000000"/>
        </w:rPr>
        <w:t>Principais frequências apresentadas para cada amostra de lignina.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5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4324F" w:rsidRPr="006B529E" w14:paraId="40C3AE6D" w14:textId="19CD27DD" w:rsidTr="00A43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049E8FC" w14:textId="0B8A5F66" w:rsidR="00A4324F" w:rsidRPr="006B529E" w:rsidRDefault="00A4324F" w:rsidP="00F91D2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Amostras</w:t>
            </w:r>
          </w:p>
        </w:tc>
        <w:tc>
          <w:tcPr>
            <w:tcW w:w="3574" w:type="dxa"/>
            <w:gridSpan w:val="11"/>
          </w:tcPr>
          <w:p w14:paraId="4004BAB4" w14:textId="3A3FCBD3" w:rsidR="00A4324F" w:rsidRPr="00A4324F" w:rsidRDefault="00A4324F" w:rsidP="00A43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4324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Principais frequências (cm</w:t>
            </w:r>
            <w:r w:rsidRPr="00A4324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-1</w:t>
            </w:r>
            <w:r w:rsidRPr="00A4324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A4324F" w:rsidRPr="006B529E" w14:paraId="7566D4A9" w14:textId="107B71D2" w:rsidTr="00A43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auto"/>
          </w:tcPr>
          <w:p w14:paraId="2E0750D5" w14:textId="7C795652" w:rsidR="00A4324F" w:rsidRPr="006B529E" w:rsidRDefault="00A4324F" w:rsidP="00F91D2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LigBg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69B4CEEC" w14:textId="2D075BD5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27" w:type="dxa"/>
            <w:shd w:val="clear" w:color="auto" w:fill="auto"/>
          </w:tcPr>
          <w:p w14:paraId="587321E1" w14:textId="0E5ABFC4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27" w:type="dxa"/>
            <w:shd w:val="clear" w:color="auto" w:fill="auto"/>
          </w:tcPr>
          <w:p w14:paraId="53E78F07" w14:textId="4A7B7D52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327" w:type="dxa"/>
            <w:shd w:val="clear" w:color="auto" w:fill="auto"/>
          </w:tcPr>
          <w:p w14:paraId="7155C64B" w14:textId="7E8398B0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327" w:type="dxa"/>
            <w:shd w:val="clear" w:color="auto" w:fill="auto"/>
          </w:tcPr>
          <w:p w14:paraId="02A511FA" w14:textId="19859957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327" w:type="dxa"/>
            <w:shd w:val="clear" w:color="auto" w:fill="auto"/>
          </w:tcPr>
          <w:p w14:paraId="11AF5880" w14:textId="35586CC2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28" w:type="dxa"/>
            <w:shd w:val="clear" w:color="auto" w:fill="auto"/>
          </w:tcPr>
          <w:p w14:paraId="0EE2CE38" w14:textId="1C511343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328" w:type="dxa"/>
            <w:shd w:val="clear" w:color="auto" w:fill="auto"/>
          </w:tcPr>
          <w:p w14:paraId="2298AFC5" w14:textId="6D5CC170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328" w:type="dxa"/>
            <w:shd w:val="clear" w:color="auto" w:fill="auto"/>
          </w:tcPr>
          <w:p w14:paraId="569BDF13" w14:textId="1A75C633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328" w:type="dxa"/>
            <w:shd w:val="clear" w:color="auto" w:fill="auto"/>
          </w:tcPr>
          <w:p w14:paraId="34C9B2D2" w14:textId="33414435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328" w:type="dxa"/>
            <w:shd w:val="clear" w:color="auto" w:fill="auto"/>
          </w:tcPr>
          <w:p w14:paraId="38DDF0BD" w14:textId="69E26923" w:rsidR="00A4324F" w:rsidRPr="006B529E" w:rsidRDefault="00A4324F" w:rsidP="00F9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</w:tr>
      <w:tr w:rsidR="00A4324F" w:rsidRPr="006B529E" w14:paraId="69F505E7" w14:textId="786F32BE" w:rsidTr="00A432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auto"/>
          </w:tcPr>
          <w:p w14:paraId="04F93E6D" w14:textId="3F655C0E" w:rsidR="00A4324F" w:rsidRPr="006B529E" w:rsidRDefault="00A4324F" w:rsidP="00F91D2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LigA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14:paraId="68DC85C8" w14:textId="45016219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327" w:type="dxa"/>
            <w:shd w:val="clear" w:color="auto" w:fill="auto"/>
          </w:tcPr>
          <w:p w14:paraId="6F052D9C" w14:textId="611D22F6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327" w:type="dxa"/>
            <w:shd w:val="clear" w:color="auto" w:fill="auto"/>
          </w:tcPr>
          <w:p w14:paraId="34B39F5A" w14:textId="35D314F4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327" w:type="dxa"/>
            <w:shd w:val="clear" w:color="auto" w:fill="auto"/>
          </w:tcPr>
          <w:p w14:paraId="66A8CBA0" w14:textId="7DD7A975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327" w:type="dxa"/>
            <w:shd w:val="clear" w:color="auto" w:fill="auto"/>
          </w:tcPr>
          <w:p w14:paraId="74989A14" w14:textId="558CDF05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D5BF31E" w14:textId="1854A3DA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28" w:type="dxa"/>
            <w:shd w:val="clear" w:color="auto" w:fill="auto"/>
          </w:tcPr>
          <w:p w14:paraId="6B8A977E" w14:textId="021E9E4B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328" w:type="dxa"/>
            <w:shd w:val="clear" w:color="auto" w:fill="auto"/>
          </w:tcPr>
          <w:p w14:paraId="27140068" w14:textId="6BAB4A48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dxa"/>
            <w:shd w:val="clear" w:color="auto" w:fill="auto"/>
          </w:tcPr>
          <w:p w14:paraId="4560516D" w14:textId="254D9E5A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328" w:type="dxa"/>
            <w:shd w:val="clear" w:color="auto" w:fill="auto"/>
          </w:tcPr>
          <w:p w14:paraId="1B208C8E" w14:textId="2DC0A635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328" w:type="dxa"/>
            <w:shd w:val="clear" w:color="auto" w:fill="auto"/>
          </w:tcPr>
          <w:p w14:paraId="4ABCE1C7" w14:textId="52B50BFB" w:rsidR="00A4324F" w:rsidRPr="006B529E" w:rsidRDefault="00A4324F" w:rsidP="00F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</w:tr>
    </w:tbl>
    <w:p w14:paraId="6C2206F3" w14:textId="77777777" w:rsidR="00CD331E" w:rsidRDefault="00CD331E" w:rsidP="000434F1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</w:rPr>
      </w:pPr>
      <w:r w:rsidRPr="00A4324F">
        <w:rPr>
          <w:rFonts w:ascii="Times New Roman" w:hAnsi="Times New Roman" w:cs="Times New Roman"/>
          <w:color w:val="000000"/>
          <w:sz w:val="20"/>
        </w:rPr>
        <w:t>Fonte: Autoria Própria, 2019.</w:t>
      </w:r>
    </w:p>
    <w:p w14:paraId="7E899BC3" w14:textId="77777777" w:rsidR="000434F1" w:rsidRDefault="000434F1" w:rsidP="000434F1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</w:rPr>
      </w:pPr>
    </w:p>
    <w:p w14:paraId="4D447ED8" w14:textId="6077AC08" w:rsidR="001A066B" w:rsidRPr="00BD6E1B" w:rsidRDefault="007C2507" w:rsidP="001A066B">
      <w:pPr>
        <w:pStyle w:val="Legenda"/>
        <w:keepNext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D6E1B">
        <w:rPr>
          <w:rFonts w:ascii="Times New Roman" w:hAnsi="Times New Roman" w:cs="Times New Roman"/>
          <w:i w:val="0"/>
          <w:color w:val="auto"/>
          <w:sz w:val="24"/>
        </w:rPr>
        <w:t xml:space="preserve">Tabela 2. </w:t>
      </w:r>
      <w:r w:rsidR="001A066B" w:rsidRPr="00BD6E1B">
        <w:rPr>
          <w:rFonts w:ascii="Times New Roman" w:hAnsi="Times New Roman" w:cs="Times New Roman"/>
          <w:i w:val="0"/>
          <w:color w:val="auto"/>
          <w:sz w:val="24"/>
        </w:rPr>
        <w:t>Atribuições das frequências no infravermelho para as ligninas</w:t>
      </w:r>
      <w:r w:rsidR="00BD6E1B"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Style w:val="TabelaSimples41"/>
        <w:tblW w:w="4942" w:type="pct"/>
        <w:tblInd w:w="108" w:type="dxa"/>
        <w:tblLook w:val="04A0" w:firstRow="1" w:lastRow="0" w:firstColumn="1" w:lastColumn="0" w:noHBand="0" w:noVBand="1"/>
      </w:tblPr>
      <w:tblGrid>
        <w:gridCol w:w="2514"/>
        <w:gridCol w:w="6615"/>
      </w:tblGrid>
      <w:tr w:rsidR="001A066B" w:rsidRPr="001A066B" w14:paraId="0F400614" w14:textId="77777777" w:rsidTr="001A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300EE" w14:textId="77777777" w:rsidR="001A066B" w:rsidRPr="001A066B" w:rsidRDefault="001A066B" w:rsidP="003A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66B">
              <w:rPr>
                <w:rFonts w:ascii="Times New Roman" w:hAnsi="Times New Roman" w:cs="Times New Roman"/>
                <w:sz w:val="20"/>
                <w:szCs w:val="20"/>
              </w:rPr>
              <w:t>Número de Onda (cm</w:t>
            </w:r>
            <w:r w:rsidRPr="001A06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06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89D8" w14:textId="77777777" w:rsidR="001A066B" w:rsidRPr="001A066B" w:rsidRDefault="001A066B" w:rsidP="003A2E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66B">
              <w:rPr>
                <w:rFonts w:ascii="Times New Roman" w:hAnsi="Times New Roman" w:cs="Times New Roman"/>
                <w:sz w:val="20"/>
                <w:szCs w:val="20"/>
              </w:rPr>
              <w:t>Atribuições das absorções</w:t>
            </w:r>
          </w:p>
        </w:tc>
      </w:tr>
      <w:tr w:rsidR="001A066B" w:rsidRPr="001A066B" w14:paraId="1E508DDF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tcBorders>
              <w:top w:val="single" w:sz="4" w:space="0" w:color="auto"/>
            </w:tcBorders>
            <w:shd w:val="clear" w:color="auto" w:fill="auto"/>
          </w:tcPr>
          <w:p w14:paraId="2635E23E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  <w:szCs w:val="20"/>
              </w:rPr>
              <w:t>3427</w:t>
            </w:r>
          </w:p>
        </w:tc>
        <w:tc>
          <w:tcPr>
            <w:tcW w:w="3623" w:type="pct"/>
            <w:tcBorders>
              <w:top w:val="single" w:sz="4" w:space="0" w:color="auto"/>
            </w:tcBorders>
            <w:shd w:val="clear" w:color="auto" w:fill="auto"/>
          </w:tcPr>
          <w:p w14:paraId="7C35281B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66B">
              <w:rPr>
                <w:rFonts w:ascii="Times New Roman" w:hAnsi="Times New Roman" w:cs="Times New Roman"/>
                <w:sz w:val="20"/>
                <w:szCs w:val="20"/>
              </w:rPr>
              <w:t>Estiramento O-H em ligações de hidrogênio</w:t>
            </w:r>
          </w:p>
        </w:tc>
      </w:tr>
      <w:tr w:rsidR="001A066B" w:rsidRPr="001A066B" w14:paraId="63B030EC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135F5372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2938</w:t>
            </w:r>
          </w:p>
        </w:tc>
        <w:tc>
          <w:tcPr>
            <w:tcW w:w="3623" w:type="pct"/>
            <w:shd w:val="clear" w:color="auto" w:fill="auto"/>
          </w:tcPr>
          <w:p w14:paraId="4B10EF11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Estiramento assimétrico C-H alifático</w:t>
            </w:r>
          </w:p>
        </w:tc>
      </w:tr>
      <w:tr w:rsidR="001A066B" w:rsidRPr="001A066B" w14:paraId="3F43A2DB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7951AE17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2845</w:t>
            </w:r>
          </w:p>
        </w:tc>
        <w:tc>
          <w:tcPr>
            <w:tcW w:w="3623" w:type="pct"/>
            <w:shd w:val="clear" w:color="auto" w:fill="auto"/>
          </w:tcPr>
          <w:p w14:paraId="4D9098D3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Estiramento simétrico C-H alifático</w:t>
            </w:r>
          </w:p>
        </w:tc>
      </w:tr>
      <w:tr w:rsidR="001A066B" w:rsidRPr="001A066B" w14:paraId="7BFB1927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20CB7AFC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1702</w:t>
            </w:r>
          </w:p>
        </w:tc>
        <w:tc>
          <w:tcPr>
            <w:tcW w:w="3623" w:type="pct"/>
            <w:shd w:val="clear" w:color="auto" w:fill="auto"/>
          </w:tcPr>
          <w:p w14:paraId="3939DDB4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Estiramento C=O de ácidos carboxílicos, cetonas e aldeídos</w:t>
            </w:r>
          </w:p>
        </w:tc>
      </w:tr>
      <w:tr w:rsidR="001A066B" w:rsidRPr="001A066B" w14:paraId="718DE862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6B00FA68" w14:textId="6E21F740" w:rsidR="001A066B" w:rsidRPr="001A066B" w:rsidRDefault="000434F1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1513 - </w:t>
            </w:r>
            <w:r w:rsidR="001A066B" w:rsidRPr="001A066B">
              <w:rPr>
                <w:rFonts w:ascii="Times New Roman" w:hAnsi="Times New Roman" w:cs="Times New Roman"/>
                <w:b w:val="0"/>
                <w:sz w:val="20"/>
              </w:rPr>
              <w:t>1604</w:t>
            </w:r>
          </w:p>
        </w:tc>
        <w:tc>
          <w:tcPr>
            <w:tcW w:w="3623" w:type="pct"/>
            <w:shd w:val="clear" w:color="auto" w:fill="auto"/>
          </w:tcPr>
          <w:p w14:paraId="1F9350C2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C=C anel aromático</w:t>
            </w:r>
          </w:p>
        </w:tc>
      </w:tr>
      <w:tr w:rsidR="001A066B" w:rsidRPr="001A066B" w14:paraId="61842345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5D46FB8B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1461</w:t>
            </w:r>
          </w:p>
        </w:tc>
        <w:tc>
          <w:tcPr>
            <w:tcW w:w="3623" w:type="pct"/>
            <w:shd w:val="clear" w:color="auto" w:fill="auto"/>
          </w:tcPr>
          <w:p w14:paraId="072CECC6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Deformação assimétrica C-H alifáticas</w:t>
            </w:r>
          </w:p>
        </w:tc>
      </w:tr>
      <w:tr w:rsidR="001A066B" w:rsidRPr="001A066B" w14:paraId="442FE9EC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254A08E0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1425</w:t>
            </w:r>
          </w:p>
        </w:tc>
        <w:tc>
          <w:tcPr>
            <w:tcW w:w="3623" w:type="pct"/>
            <w:shd w:val="clear" w:color="auto" w:fill="auto"/>
          </w:tcPr>
          <w:p w14:paraId="2443480D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C=C anel aromático</w:t>
            </w:r>
          </w:p>
        </w:tc>
      </w:tr>
      <w:tr w:rsidR="001A066B" w:rsidRPr="001A066B" w14:paraId="208905B2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7D2DDC58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1365</w:t>
            </w:r>
          </w:p>
        </w:tc>
        <w:tc>
          <w:tcPr>
            <w:tcW w:w="3623" w:type="pct"/>
            <w:shd w:val="clear" w:color="auto" w:fill="auto"/>
          </w:tcPr>
          <w:p w14:paraId="636B2576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Deformação simétrica CH</w:t>
            </w:r>
            <w:r w:rsidRPr="001A066B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</w:tr>
      <w:tr w:rsidR="001A066B" w:rsidRPr="001A066B" w14:paraId="57D0A494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43AC51BC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1326</w:t>
            </w:r>
          </w:p>
        </w:tc>
        <w:tc>
          <w:tcPr>
            <w:tcW w:w="3623" w:type="pct"/>
            <w:shd w:val="clear" w:color="auto" w:fill="auto"/>
          </w:tcPr>
          <w:p w14:paraId="44C86B7E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 xml:space="preserve">Deformação axial de C-O de unidades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siringila</w:t>
            </w:r>
            <w:proofErr w:type="spellEnd"/>
            <w:r w:rsidRPr="001A066B">
              <w:rPr>
                <w:rFonts w:ascii="Times New Roman" w:hAnsi="Times New Roman" w:cs="Times New Roman"/>
                <w:sz w:val="20"/>
              </w:rPr>
              <w:t xml:space="preserve"> e/ou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guaiacila</w:t>
            </w:r>
            <w:proofErr w:type="spellEnd"/>
          </w:p>
        </w:tc>
      </w:tr>
      <w:tr w:rsidR="001A066B" w:rsidRPr="001A066B" w14:paraId="081793A3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7A469981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1265</w:t>
            </w:r>
          </w:p>
        </w:tc>
        <w:tc>
          <w:tcPr>
            <w:tcW w:w="3623" w:type="pct"/>
            <w:shd w:val="clear" w:color="auto" w:fill="auto"/>
          </w:tcPr>
          <w:p w14:paraId="017BDE9B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 xml:space="preserve">Deformação anel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guaiacila</w:t>
            </w:r>
            <w:proofErr w:type="spellEnd"/>
          </w:p>
        </w:tc>
      </w:tr>
      <w:tr w:rsidR="001A066B" w:rsidRPr="001A066B" w14:paraId="1FE3C245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0B8797F4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1214</w:t>
            </w:r>
          </w:p>
        </w:tc>
        <w:tc>
          <w:tcPr>
            <w:tcW w:w="3623" w:type="pct"/>
            <w:shd w:val="clear" w:color="auto" w:fill="auto"/>
          </w:tcPr>
          <w:p w14:paraId="6BDD3268" w14:textId="0BC35005" w:rsidR="001A066B" w:rsidRPr="001A066B" w:rsidRDefault="001A066B" w:rsidP="000434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 xml:space="preserve">Estiramento de </w:t>
            </w:r>
            <w:r w:rsidR="000434F1">
              <w:rPr>
                <w:rFonts w:ascii="Times New Roman" w:hAnsi="Times New Roman" w:cs="Times New Roman"/>
                <w:sz w:val="20"/>
              </w:rPr>
              <w:t xml:space="preserve">C-C e </w:t>
            </w:r>
            <w:r w:rsidRPr="001A066B">
              <w:rPr>
                <w:rFonts w:ascii="Times New Roman" w:hAnsi="Times New Roman" w:cs="Times New Roman"/>
                <w:sz w:val="20"/>
              </w:rPr>
              <w:t>C-O sensível a substituição do anel aromático</w:t>
            </w:r>
          </w:p>
        </w:tc>
      </w:tr>
      <w:tr w:rsidR="001A066B" w:rsidRPr="001A066B" w14:paraId="4C0B9EA7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7FA0A44F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1168</w:t>
            </w:r>
          </w:p>
        </w:tc>
        <w:tc>
          <w:tcPr>
            <w:tcW w:w="3623" w:type="pct"/>
            <w:shd w:val="clear" w:color="auto" w:fill="auto"/>
          </w:tcPr>
          <w:p w14:paraId="50CC6355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Típico de lignina HGS (p-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hidroxifenila</w:t>
            </w:r>
            <w:proofErr w:type="spellEnd"/>
            <w:r w:rsidRPr="001A066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guaiacila</w:t>
            </w:r>
            <w:proofErr w:type="spellEnd"/>
            <w:r w:rsidRPr="001A066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siringila</w:t>
            </w:r>
            <w:proofErr w:type="spellEnd"/>
            <w:r w:rsidRPr="001A066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A066B" w:rsidRPr="001A066B" w14:paraId="31258E18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74D24049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1117</w:t>
            </w:r>
          </w:p>
        </w:tc>
        <w:tc>
          <w:tcPr>
            <w:tcW w:w="3623" w:type="pct"/>
            <w:shd w:val="clear" w:color="auto" w:fill="auto"/>
          </w:tcPr>
          <w:p w14:paraId="40F925A2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 xml:space="preserve">Deformação (no plano) de C-H (típico de anel </w:t>
            </w:r>
            <w:proofErr w:type="spellStart"/>
            <w:r w:rsidRPr="001A066B">
              <w:rPr>
                <w:rFonts w:ascii="Times New Roman" w:hAnsi="Times New Roman" w:cs="Times New Roman"/>
                <w:sz w:val="20"/>
              </w:rPr>
              <w:t>siringílico</w:t>
            </w:r>
            <w:proofErr w:type="spellEnd"/>
            <w:r w:rsidRPr="001A066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A066B" w:rsidRPr="001A066B" w14:paraId="684F5252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08C90B2F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1088</w:t>
            </w:r>
          </w:p>
        </w:tc>
        <w:tc>
          <w:tcPr>
            <w:tcW w:w="3623" w:type="pct"/>
            <w:shd w:val="clear" w:color="auto" w:fill="auto"/>
          </w:tcPr>
          <w:p w14:paraId="23BEC319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Deformação C-O de álcool secundário e éter alifático</w:t>
            </w:r>
          </w:p>
        </w:tc>
      </w:tr>
      <w:tr w:rsidR="001A066B" w:rsidRPr="001A066B" w14:paraId="27EF0B1E" w14:textId="77777777" w:rsidTr="001A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shd w:val="clear" w:color="auto" w:fill="auto"/>
          </w:tcPr>
          <w:p w14:paraId="4616157D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1035</w:t>
            </w:r>
          </w:p>
        </w:tc>
        <w:tc>
          <w:tcPr>
            <w:tcW w:w="3623" w:type="pct"/>
            <w:shd w:val="clear" w:color="auto" w:fill="auto"/>
          </w:tcPr>
          <w:p w14:paraId="5843465C" w14:textId="77777777" w:rsidR="001A066B" w:rsidRPr="001A066B" w:rsidRDefault="001A066B" w:rsidP="003A2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Deformação C-H aromática no plano e deformação C-O de álcool primário</w:t>
            </w:r>
          </w:p>
        </w:tc>
      </w:tr>
      <w:tr w:rsidR="001A066B" w:rsidRPr="001A066B" w14:paraId="331C3948" w14:textId="77777777" w:rsidTr="001A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tcBorders>
              <w:bottom w:val="single" w:sz="4" w:space="0" w:color="auto"/>
            </w:tcBorders>
            <w:shd w:val="clear" w:color="auto" w:fill="auto"/>
          </w:tcPr>
          <w:p w14:paraId="188A539E" w14:textId="77777777" w:rsidR="001A066B" w:rsidRPr="001A066B" w:rsidRDefault="001A066B" w:rsidP="003A2E7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A066B">
              <w:rPr>
                <w:rFonts w:ascii="Times New Roman" w:hAnsi="Times New Roman" w:cs="Times New Roman"/>
                <w:b w:val="0"/>
                <w:sz w:val="20"/>
              </w:rPr>
              <w:t>834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shd w:val="clear" w:color="auto" w:fill="auto"/>
          </w:tcPr>
          <w:p w14:paraId="0DB6A673" w14:textId="77777777" w:rsidR="001A066B" w:rsidRPr="001A066B" w:rsidRDefault="001A066B" w:rsidP="003A2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A066B">
              <w:rPr>
                <w:rFonts w:ascii="Times New Roman" w:hAnsi="Times New Roman" w:cs="Times New Roman"/>
                <w:sz w:val="20"/>
              </w:rPr>
              <w:t>Deformação C-H aromática fora do plano</w:t>
            </w:r>
          </w:p>
        </w:tc>
      </w:tr>
    </w:tbl>
    <w:p w14:paraId="5CCE5F23" w14:textId="77777777" w:rsidR="001A066B" w:rsidRPr="001A066B" w:rsidRDefault="001A066B" w:rsidP="001A066B">
      <w:pPr>
        <w:spacing w:line="360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1A066B">
        <w:rPr>
          <w:rFonts w:ascii="Times New Roman" w:hAnsi="Times New Roman" w:cs="Times New Roman"/>
          <w:sz w:val="20"/>
          <w:szCs w:val="22"/>
        </w:rPr>
        <w:t>Fonte: SILVA, 2014.</w:t>
      </w:r>
    </w:p>
    <w:p w14:paraId="78F9D35E" w14:textId="77777777" w:rsidR="00EA0613" w:rsidRPr="00EA0613" w:rsidRDefault="00EA0613" w:rsidP="00EA0613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A0613">
        <w:rPr>
          <w:rFonts w:ascii="Times New Roman" w:hAnsi="Times New Roman" w:cs="Times New Roman"/>
          <w:i/>
          <w:color w:val="000000"/>
        </w:rPr>
        <w:lastRenderedPageBreak/>
        <w:t>Análise elementar das ligninas (CHNS/O)</w:t>
      </w:r>
    </w:p>
    <w:p w14:paraId="6BAA0A27" w14:textId="1DCDB5EA" w:rsidR="00EA0613" w:rsidRDefault="00EA0613" w:rsidP="00EA061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A0613">
        <w:rPr>
          <w:rFonts w:ascii="Times New Roman" w:hAnsi="Times New Roman" w:cs="Times New Roman"/>
          <w:color w:val="000000"/>
        </w:rPr>
        <w:t>A</w:t>
      </w:r>
      <w:r w:rsidR="001817C5">
        <w:rPr>
          <w:rFonts w:ascii="Times New Roman" w:hAnsi="Times New Roman" w:cs="Times New Roman"/>
          <w:color w:val="000000"/>
        </w:rPr>
        <w:t>s determinações</w:t>
      </w:r>
      <w:r w:rsidR="000B2974">
        <w:rPr>
          <w:rFonts w:ascii="Times New Roman" w:hAnsi="Times New Roman" w:cs="Times New Roman"/>
          <w:color w:val="000000"/>
        </w:rPr>
        <w:t xml:space="preserve"> dos elementos carbono, nitrogênio, hidrogênio e enxofre</w:t>
      </w:r>
      <w:r w:rsidRPr="00EA0613">
        <w:rPr>
          <w:rFonts w:ascii="Times New Roman" w:hAnsi="Times New Roman" w:cs="Times New Roman"/>
          <w:color w:val="000000"/>
        </w:rPr>
        <w:t xml:space="preserve"> foram </w:t>
      </w:r>
      <w:r w:rsidR="002411A6">
        <w:rPr>
          <w:rFonts w:ascii="Times New Roman" w:hAnsi="Times New Roman" w:cs="Times New Roman"/>
          <w:color w:val="000000"/>
        </w:rPr>
        <w:t>medi</w:t>
      </w:r>
      <w:r w:rsidR="002411A6" w:rsidRPr="001817C5">
        <w:rPr>
          <w:rFonts w:ascii="Times New Roman" w:hAnsi="Times New Roman" w:cs="Times New Roman"/>
          <w:color w:val="000000"/>
        </w:rPr>
        <w:t>das</w:t>
      </w:r>
      <w:r w:rsidR="002411A6" w:rsidRPr="00EA0613">
        <w:rPr>
          <w:rFonts w:ascii="Times New Roman" w:hAnsi="Times New Roman" w:cs="Times New Roman"/>
          <w:color w:val="000000"/>
        </w:rPr>
        <w:t xml:space="preserve"> </w:t>
      </w:r>
      <w:r w:rsidR="002411A6">
        <w:rPr>
          <w:rFonts w:ascii="Times New Roman" w:hAnsi="Times New Roman" w:cs="Times New Roman"/>
          <w:color w:val="000000"/>
        </w:rPr>
        <w:t xml:space="preserve">no </w:t>
      </w:r>
      <w:r>
        <w:rPr>
          <w:rFonts w:ascii="Times New Roman" w:hAnsi="Times New Roman" w:cs="Times New Roman"/>
          <w:color w:val="000000"/>
        </w:rPr>
        <w:t>equipamento, enquanto</w:t>
      </w:r>
      <w:r w:rsidRPr="00EA0613">
        <w:rPr>
          <w:rFonts w:ascii="Times New Roman" w:hAnsi="Times New Roman" w:cs="Times New Roman"/>
          <w:color w:val="000000"/>
        </w:rPr>
        <w:t xml:space="preserve"> </w:t>
      </w:r>
      <w:r w:rsidR="002411A6">
        <w:rPr>
          <w:rFonts w:ascii="Times New Roman" w:hAnsi="Times New Roman" w:cs="Times New Roman"/>
          <w:color w:val="000000"/>
        </w:rPr>
        <w:t>a</w:t>
      </w:r>
      <w:r w:rsidRPr="00EA0613">
        <w:rPr>
          <w:rFonts w:ascii="Times New Roman" w:hAnsi="Times New Roman" w:cs="Times New Roman"/>
          <w:color w:val="000000"/>
        </w:rPr>
        <w:t xml:space="preserve"> quantidade d</w:t>
      </w:r>
      <w:r w:rsidR="00BD6E1B">
        <w:rPr>
          <w:rFonts w:ascii="Times New Roman" w:hAnsi="Times New Roman" w:cs="Times New Roman"/>
          <w:color w:val="000000"/>
        </w:rPr>
        <w:t>e oxigênio presente foi estimada</w:t>
      </w:r>
      <w:r w:rsidRPr="00EA0613">
        <w:rPr>
          <w:rFonts w:ascii="Times New Roman" w:hAnsi="Times New Roman" w:cs="Times New Roman"/>
          <w:color w:val="000000"/>
        </w:rPr>
        <w:t xml:space="preserve"> a partir da subtração da porcentagem</w:t>
      </w:r>
      <w:r w:rsidR="000B2974">
        <w:rPr>
          <w:rFonts w:ascii="Times New Roman" w:hAnsi="Times New Roman" w:cs="Times New Roman"/>
          <w:color w:val="000000"/>
        </w:rPr>
        <w:t xml:space="preserve"> dos outros elementos presentes.</w:t>
      </w:r>
    </w:p>
    <w:p w14:paraId="34407256" w14:textId="57EE83B3" w:rsidR="00EA0613" w:rsidRDefault="000434F1" w:rsidP="000434F1">
      <w:pPr>
        <w:spacing w:before="120" w:after="12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Tabela 3. </w:t>
      </w:r>
      <w:r w:rsidR="00EA0613" w:rsidRPr="00EA0613">
        <w:rPr>
          <w:rFonts w:ascii="Times New Roman" w:hAnsi="Times New Roman" w:cs="Times New Roman"/>
          <w:color w:val="000000"/>
        </w:rPr>
        <w:t>Resultados da análise elementar com os teores de carbono (C), nitrogênio (N), hidrogê</w:t>
      </w:r>
      <w:r w:rsidR="000C6B0A">
        <w:rPr>
          <w:rFonts w:ascii="Times New Roman" w:hAnsi="Times New Roman" w:cs="Times New Roman"/>
          <w:color w:val="000000"/>
        </w:rPr>
        <w:t>nio (H), enxofre (S) e oxigênio</w:t>
      </w:r>
      <w:r w:rsidR="00EA0613" w:rsidRPr="00EA0613">
        <w:rPr>
          <w:rFonts w:ascii="Times New Roman" w:hAnsi="Times New Roman" w:cs="Times New Roman"/>
          <w:color w:val="000000"/>
        </w:rPr>
        <w:t xml:space="preserve"> (O) presentes em cada amostra.</w:t>
      </w:r>
    </w:p>
    <w:tbl>
      <w:tblPr>
        <w:tblStyle w:val="TabelaSimples21"/>
        <w:tblW w:w="5000" w:type="pct"/>
        <w:tblLayout w:type="fixed"/>
        <w:tblLook w:val="04A0" w:firstRow="1" w:lastRow="0" w:firstColumn="1" w:lastColumn="0" w:noHBand="0" w:noVBand="1"/>
      </w:tblPr>
      <w:tblGrid>
        <w:gridCol w:w="1093"/>
        <w:gridCol w:w="849"/>
        <w:gridCol w:w="851"/>
        <w:gridCol w:w="852"/>
        <w:gridCol w:w="852"/>
        <w:gridCol w:w="850"/>
        <w:gridCol w:w="852"/>
        <w:gridCol w:w="848"/>
        <w:gridCol w:w="852"/>
        <w:gridCol w:w="1337"/>
      </w:tblGrid>
      <w:tr w:rsidR="00EA0613" w:rsidRPr="00EA0613" w14:paraId="6DD0B54C" w14:textId="77777777" w:rsidTr="00FC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vAlign w:val="center"/>
          </w:tcPr>
          <w:p w14:paraId="51360C59" w14:textId="58B9840F" w:rsidR="00EA0613" w:rsidRPr="00EA0613" w:rsidRDefault="00EA0613" w:rsidP="00DC688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Amostra</w:t>
            </w:r>
          </w:p>
        </w:tc>
        <w:tc>
          <w:tcPr>
            <w:tcW w:w="460" w:type="pct"/>
            <w:vMerge w:val="restart"/>
          </w:tcPr>
          <w:p w14:paraId="3996684A" w14:textId="77777777" w:rsidR="00DC688D" w:rsidRDefault="00DC688D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OLE_LINK1"/>
          </w:p>
          <w:p w14:paraId="21848A9A" w14:textId="77777777" w:rsidR="00EA0613" w:rsidRPr="00EA0613" w:rsidRDefault="00EA0613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C (%) m/m</w:t>
            </w:r>
            <w:bookmarkEnd w:id="0"/>
          </w:p>
        </w:tc>
        <w:tc>
          <w:tcPr>
            <w:tcW w:w="461" w:type="pct"/>
            <w:vMerge w:val="restart"/>
          </w:tcPr>
          <w:p w14:paraId="5A2BC263" w14:textId="77777777" w:rsidR="00DC688D" w:rsidRDefault="00DC688D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4C5E85F" w14:textId="77777777" w:rsidR="00EA0613" w:rsidRPr="00EA0613" w:rsidRDefault="00EA0613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H (%) m/m</w:t>
            </w:r>
          </w:p>
        </w:tc>
        <w:tc>
          <w:tcPr>
            <w:tcW w:w="461" w:type="pct"/>
            <w:tcBorders>
              <w:top w:val="single" w:sz="4" w:space="0" w:color="7F7F7F" w:themeColor="text1" w:themeTint="80"/>
              <w:bottom w:val="nil"/>
            </w:tcBorders>
          </w:tcPr>
          <w:p w14:paraId="5BCD3232" w14:textId="77777777" w:rsidR="00DC688D" w:rsidRDefault="00DC688D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77067B7" w14:textId="77777777" w:rsidR="00EA0613" w:rsidRPr="00EA0613" w:rsidRDefault="00EA0613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N (%) m/m</w:t>
            </w:r>
          </w:p>
        </w:tc>
        <w:tc>
          <w:tcPr>
            <w:tcW w:w="461" w:type="pct"/>
            <w:tcBorders>
              <w:top w:val="single" w:sz="4" w:space="0" w:color="7F7F7F" w:themeColor="text1" w:themeTint="80"/>
              <w:bottom w:val="nil"/>
            </w:tcBorders>
          </w:tcPr>
          <w:p w14:paraId="6A0B8705" w14:textId="77777777" w:rsidR="00DC688D" w:rsidRDefault="00DC688D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E47C433" w14:textId="77777777" w:rsidR="00EA0613" w:rsidRPr="00EA0613" w:rsidRDefault="00EA0613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S (%</w:t>
            </w:r>
            <w:proofErr w:type="gramStart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m/m</w:t>
            </w:r>
          </w:p>
        </w:tc>
        <w:tc>
          <w:tcPr>
            <w:tcW w:w="460" w:type="pct"/>
            <w:vMerge w:val="restart"/>
            <w:tcBorders>
              <w:top w:val="single" w:sz="4" w:space="0" w:color="7F7F7F" w:themeColor="text1" w:themeTint="80"/>
              <w:bottom w:val="nil"/>
            </w:tcBorders>
          </w:tcPr>
          <w:p w14:paraId="5747C95F" w14:textId="77777777" w:rsidR="00DC688D" w:rsidRDefault="00DC688D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23EC7E0" w14:textId="77777777" w:rsidR="00EA0613" w:rsidRPr="00EA0613" w:rsidRDefault="00EA0613" w:rsidP="00EA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O (%</w:t>
            </w:r>
            <w:proofErr w:type="gramStart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m/m</w:t>
            </w:r>
          </w:p>
        </w:tc>
        <w:tc>
          <w:tcPr>
            <w:tcW w:w="2105" w:type="pct"/>
            <w:gridSpan w:val="4"/>
            <w:tcBorders>
              <w:bottom w:val="single" w:sz="4" w:space="0" w:color="auto"/>
            </w:tcBorders>
            <w:vAlign w:val="center"/>
          </w:tcPr>
          <w:p w14:paraId="3D868CB4" w14:textId="77777777" w:rsidR="00EA0613" w:rsidRPr="00EA0613" w:rsidRDefault="00EA0613" w:rsidP="00FC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Referências</w:t>
            </w:r>
          </w:p>
        </w:tc>
      </w:tr>
      <w:tr w:rsidR="00EA0613" w:rsidRPr="00EA0613" w14:paraId="6CE7E256" w14:textId="77777777" w:rsidTr="00FC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7AC828A1" w14:textId="77777777" w:rsidR="00EA0613" w:rsidRPr="00EA0613" w:rsidRDefault="00EA0613" w:rsidP="00EA06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14:paraId="6BCBAAA3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14:paraId="7F5E1CAE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587F4DF3" w14:textId="77777777" w:rsidR="00EA0613" w:rsidRPr="00EA0613" w:rsidRDefault="00EA0613" w:rsidP="00D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26DE3E2B" w14:textId="77777777" w:rsidR="00EA0613" w:rsidRPr="00EA0613" w:rsidRDefault="00EA0613" w:rsidP="00D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14:paraId="3703B7C3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4AD79E6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C (%)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E2A4007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H (%)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5E70D5C" w14:textId="77777777" w:rsidR="00EA0613" w:rsidRPr="00EA0613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2BF83A78" w14:textId="77777777" w:rsidR="00EA0613" w:rsidRPr="00DC688D" w:rsidRDefault="00EA0613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58E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</w:p>
        </w:tc>
      </w:tr>
      <w:tr w:rsidR="00FC358E" w:rsidRPr="00FC358E" w14:paraId="4664BE24" w14:textId="77777777" w:rsidTr="00FC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16E2E7CB" w14:textId="77777777" w:rsidR="00FC358E" w:rsidRPr="00EA0613" w:rsidRDefault="00FC358E" w:rsidP="00EA06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LigBg</w:t>
            </w:r>
            <w:proofErr w:type="spellEnd"/>
            <w:proofErr w:type="gramEnd"/>
          </w:p>
        </w:tc>
        <w:tc>
          <w:tcPr>
            <w:tcW w:w="460" w:type="pct"/>
          </w:tcPr>
          <w:p w14:paraId="19E31577" w14:textId="615DF095" w:rsidR="00FC358E" w:rsidRPr="00FC358E" w:rsidRDefault="00FC358E" w:rsidP="00EA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54,12</w:t>
            </w:r>
          </w:p>
        </w:tc>
        <w:tc>
          <w:tcPr>
            <w:tcW w:w="461" w:type="pct"/>
          </w:tcPr>
          <w:p w14:paraId="37BB2AFB" w14:textId="0C4B2843" w:rsidR="00FC358E" w:rsidRPr="00FC358E" w:rsidRDefault="00FC358E" w:rsidP="00EA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5,04</w:t>
            </w:r>
          </w:p>
        </w:tc>
        <w:tc>
          <w:tcPr>
            <w:tcW w:w="461" w:type="pct"/>
          </w:tcPr>
          <w:p w14:paraId="226CB43B" w14:textId="4D663BD7" w:rsidR="00FC358E" w:rsidRPr="00FC358E" w:rsidRDefault="00FC358E" w:rsidP="00EA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461" w:type="pct"/>
          </w:tcPr>
          <w:p w14:paraId="3F4AF521" w14:textId="6EEF5553" w:rsidR="00FC358E" w:rsidRPr="00FC358E" w:rsidRDefault="00FC358E" w:rsidP="00EA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460" w:type="pct"/>
          </w:tcPr>
          <w:p w14:paraId="39AAC795" w14:textId="6F5570CE" w:rsidR="00FC358E" w:rsidRPr="00FC358E" w:rsidRDefault="00FC358E" w:rsidP="00EA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38,93</w:t>
            </w:r>
          </w:p>
        </w:tc>
        <w:tc>
          <w:tcPr>
            <w:tcW w:w="461" w:type="pct"/>
          </w:tcPr>
          <w:p w14:paraId="67B77BBD" w14:textId="77777777" w:rsidR="00FC358E" w:rsidRPr="00EA0613" w:rsidRDefault="00FC358E" w:rsidP="00E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459" w:type="pct"/>
          </w:tcPr>
          <w:p w14:paraId="0512EEFC" w14:textId="77777777" w:rsidR="00FC358E" w:rsidRPr="00EA0613" w:rsidRDefault="00FC358E" w:rsidP="00E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461" w:type="pct"/>
          </w:tcPr>
          <w:p w14:paraId="4266ED8C" w14:textId="77777777" w:rsidR="00FC358E" w:rsidRPr="00EA0613" w:rsidRDefault="00FC358E" w:rsidP="00EA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23" w:type="pct"/>
          </w:tcPr>
          <w:p w14:paraId="6F08F9D1" w14:textId="6EAAB7A0" w:rsidR="00FC358E" w:rsidRPr="00FC358E" w:rsidRDefault="00FC358E" w:rsidP="00092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  <w:szCs w:val="20"/>
              </w:rPr>
              <w:t>Silva, 2014.</w:t>
            </w:r>
          </w:p>
        </w:tc>
      </w:tr>
      <w:tr w:rsidR="00FC358E" w:rsidRPr="00EA0613" w14:paraId="5C49AF8F" w14:textId="77777777" w:rsidTr="00FC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623355B0" w14:textId="362008FC" w:rsidR="00FC358E" w:rsidRPr="00EA0613" w:rsidRDefault="00FC358E" w:rsidP="00EA06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EA0613">
              <w:rPr>
                <w:rFonts w:ascii="Times New Roman" w:hAnsi="Times New Roman" w:cs="Times New Roman"/>
                <w:b w:val="0"/>
                <w:sz w:val="20"/>
                <w:szCs w:val="20"/>
              </w:rPr>
              <w:t>LigA</w:t>
            </w:r>
            <w:proofErr w:type="spellEnd"/>
            <w:proofErr w:type="gramEnd"/>
          </w:p>
        </w:tc>
        <w:tc>
          <w:tcPr>
            <w:tcW w:w="460" w:type="pct"/>
          </w:tcPr>
          <w:p w14:paraId="666B2B1C" w14:textId="38699D40" w:rsidR="00FC358E" w:rsidRPr="00FC358E" w:rsidRDefault="00FC358E" w:rsidP="00EA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58,15</w:t>
            </w:r>
          </w:p>
        </w:tc>
        <w:tc>
          <w:tcPr>
            <w:tcW w:w="461" w:type="pct"/>
          </w:tcPr>
          <w:p w14:paraId="3861B9C6" w14:textId="2B0C95F9" w:rsidR="00FC358E" w:rsidRPr="00FC358E" w:rsidRDefault="00FC358E" w:rsidP="00EA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6,71</w:t>
            </w:r>
          </w:p>
        </w:tc>
        <w:tc>
          <w:tcPr>
            <w:tcW w:w="461" w:type="pct"/>
          </w:tcPr>
          <w:p w14:paraId="1820AA4A" w14:textId="2DAF33F8" w:rsidR="00FC358E" w:rsidRPr="00FC358E" w:rsidRDefault="00FC358E" w:rsidP="00EA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1,51</w:t>
            </w:r>
          </w:p>
        </w:tc>
        <w:tc>
          <w:tcPr>
            <w:tcW w:w="461" w:type="pct"/>
          </w:tcPr>
          <w:p w14:paraId="383185B1" w14:textId="29075269" w:rsidR="00FC358E" w:rsidRPr="00FC358E" w:rsidRDefault="00FC358E" w:rsidP="00EA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2,31</w:t>
            </w:r>
          </w:p>
        </w:tc>
        <w:tc>
          <w:tcPr>
            <w:tcW w:w="460" w:type="pct"/>
          </w:tcPr>
          <w:p w14:paraId="5EE2A29A" w14:textId="79F17248" w:rsidR="00FC358E" w:rsidRPr="00FC358E" w:rsidRDefault="00FC358E" w:rsidP="00EA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</w:rPr>
              <w:t>31,32</w:t>
            </w:r>
          </w:p>
        </w:tc>
        <w:tc>
          <w:tcPr>
            <w:tcW w:w="461" w:type="pct"/>
          </w:tcPr>
          <w:p w14:paraId="3784DCD7" w14:textId="77777777" w:rsidR="00FC358E" w:rsidRPr="00EA0613" w:rsidRDefault="00FC358E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40,87</w:t>
            </w:r>
          </w:p>
        </w:tc>
        <w:tc>
          <w:tcPr>
            <w:tcW w:w="459" w:type="pct"/>
          </w:tcPr>
          <w:p w14:paraId="7F18F759" w14:textId="77777777" w:rsidR="00FC358E" w:rsidRPr="00EA0613" w:rsidRDefault="00FC358E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461" w:type="pct"/>
          </w:tcPr>
          <w:p w14:paraId="7BD609F7" w14:textId="77777777" w:rsidR="00FC358E" w:rsidRPr="00EA0613" w:rsidRDefault="00FC358E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3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723" w:type="pct"/>
          </w:tcPr>
          <w:p w14:paraId="5D493380" w14:textId="07F867FE" w:rsidR="00FC358E" w:rsidRPr="00FC358E" w:rsidRDefault="00FC358E" w:rsidP="00EA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8E">
              <w:rPr>
                <w:rFonts w:ascii="Times New Roman" w:hAnsi="Times New Roman" w:cs="Times New Roman"/>
                <w:sz w:val="20"/>
                <w:szCs w:val="20"/>
              </w:rPr>
              <w:t>Santos 2018.</w:t>
            </w:r>
          </w:p>
        </w:tc>
      </w:tr>
    </w:tbl>
    <w:p w14:paraId="4F5B4C99" w14:textId="77777777" w:rsidR="001A066B" w:rsidRDefault="001A066B" w:rsidP="001A066B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</w:rPr>
      </w:pPr>
      <w:r w:rsidRPr="00A4324F">
        <w:rPr>
          <w:rFonts w:ascii="Times New Roman" w:hAnsi="Times New Roman" w:cs="Times New Roman"/>
          <w:color w:val="000000"/>
          <w:sz w:val="20"/>
        </w:rPr>
        <w:t>Fonte: Autoria Própria, 2019.</w:t>
      </w:r>
    </w:p>
    <w:p w14:paraId="29EC91CE" w14:textId="4CA51034" w:rsidR="00EA0613" w:rsidRPr="00EA0613" w:rsidRDefault="009007E4" w:rsidP="00EA061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Sabe</w:t>
      </w:r>
      <w:r w:rsidR="00EA0613" w:rsidRPr="00EA0613">
        <w:rPr>
          <w:rFonts w:ascii="Times New Roman" w:hAnsi="Times New Roman" w:cs="Times New Roman"/>
          <w:color w:val="000000"/>
        </w:rPr>
        <w:t xml:space="preserve">-se que o teor de carbono está relacionado ao poder calorífico, </w:t>
      </w:r>
      <w:r>
        <w:rPr>
          <w:rFonts w:ascii="Times New Roman" w:hAnsi="Times New Roman" w:cs="Times New Roman"/>
          <w:color w:val="000000"/>
        </w:rPr>
        <w:t>e</w:t>
      </w:r>
      <w:r w:rsidR="00EA0613" w:rsidRPr="00EA0613">
        <w:rPr>
          <w:rFonts w:ascii="Times New Roman" w:hAnsi="Times New Roman" w:cs="Times New Roman"/>
          <w:color w:val="000000"/>
        </w:rPr>
        <w:t xml:space="preserve"> quanto maior for o teor de carbono em um composto, maior será o seu potencial energético</w:t>
      </w:r>
      <w:r w:rsidR="000B297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os resultados são </w:t>
      </w:r>
      <w:r w:rsidR="00EA0613" w:rsidRPr="00EA0613">
        <w:rPr>
          <w:rFonts w:ascii="Times New Roman" w:hAnsi="Times New Roman" w:cs="Times New Roman"/>
          <w:color w:val="000000"/>
        </w:rPr>
        <w:t>comprovado</w:t>
      </w:r>
      <w:r>
        <w:rPr>
          <w:rFonts w:ascii="Times New Roman" w:hAnsi="Times New Roman" w:cs="Times New Roman"/>
          <w:color w:val="000000"/>
        </w:rPr>
        <w:t>s</w:t>
      </w:r>
      <w:r w:rsidR="000B29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ao </w:t>
      </w:r>
      <w:r w:rsidR="000B2974">
        <w:rPr>
          <w:rFonts w:ascii="Times New Roman" w:hAnsi="Times New Roman" w:cs="Times New Roman"/>
          <w:color w:val="000000"/>
        </w:rPr>
        <w:t>correlacion</w:t>
      </w:r>
      <w:r>
        <w:rPr>
          <w:rFonts w:ascii="Times New Roman" w:hAnsi="Times New Roman" w:cs="Times New Roman"/>
          <w:color w:val="000000"/>
        </w:rPr>
        <w:t>ar</w:t>
      </w:r>
      <w:r w:rsidR="00EA0613" w:rsidRPr="00EA0613">
        <w:rPr>
          <w:rFonts w:ascii="Times New Roman" w:hAnsi="Times New Roman" w:cs="Times New Roman"/>
          <w:color w:val="000000"/>
        </w:rPr>
        <w:t xml:space="preserve"> com os resultad</w:t>
      </w:r>
      <w:r w:rsidR="001817C5">
        <w:rPr>
          <w:rFonts w:ascii="Times New Roman" w:hAnsi="Times New Roman" w:cs="Times New Roman"/>
          <w:color w:val="000000"/>
        </w:rPr>
        <w:t>os de Poder C</w:t>
      </w:r>
      <w:r w:rsidR="00EA0613" w:rsidRPr="00EA0613">
        <w:rPr>
          <w:rFonts w:ascii="Times New Roman" w:hAnsi="Times New Roman" w:cs="Times New Roman"/>
          <w:color w:val="000000"/>
        </w:rPr>
        <w:t xml:space="preserve">alorífico </w:t>
      </w:r>
      <w:r w:rsidR="00BD6E1B">
        <w:rPr>
          <w:rFonts w:ascii="Times New Roman" w:hAnsi="Times New Roman" w:cs="Times New Roman"/>
          <w:color w:val="000000"/>
        </w:rPr>
        <w:t>(</w:t>
      </w:r>
      <w:r w:rsidR="00EA0613" w:rsidRPr="00EA0613">
        <w:rPr>
          <w:rFonts w:ascii="Times New Roman" w:hAnsi="Times New Roman" w:cs="Times New Roman"/>
          <w:color w:val="000000"/>
        </w:rPr>
        <w:t>Tabela 5</w:t>
      </w:r>
      <w:r w:rsidR="00BD6E1B">
        <w:rPr>
          <w:rFonts w:ascii="Times New Roman" w:hAnsi="Times New Roman" w:cs="Times New Roman"/>
          <w:color w:val="000000"/>
        </w:rPr>
        <w:t>)</w:t>
      </w:r>
      <w:r w:rsidR="00EA0613" w:rsidRPr="00EA0613">
        <w:rPr>
          <w:rFonts w:ascii="Times New Roman" w:hAnsi="Times New Roman" w:cs="Times New Roman"/>
          <w:color w:val="000000"/>
        </w:rPr>
        <w:t>.</w:t>
      </w:r>
    </w:p>
    <w:p w14:paraId="0071BE32" w14:textId="77C89A9C" w:rsidR="00E27689" w:rsidRPr="00E27689" w:rsidRDefault="00EA0613" w:rsidP="000C6B0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A0613">
        <w:rPr>
          <w:rFonts w:ascii="Times New Roman" w:hAnsi="Times New Roman" w:cs="Times New Roman"/>
          <w:color w:val="000000"/>
        </w:rPr>
        <w:t xml:space="preserve">Os resultados </w:t>
      </w:r>
      <w:r w:rsidR="000B2974">
        <w:rPr>
          <w:rFonts w:ascii="Times New Roman" w:hAnsi="Times New Roman" w:cs="Times New Roman"/>
          <w:color w:val="000000"/>
        </w:rPr>
        <w:t>d</w:t>
      </w:r>
      <w:r w:rsidR="000C6B0A">
        <w:rPr>
          <w:rFonts w:ascii="Times New Roman" w:hAnsi="Times New Roman" w:cs="Times New Roman"/>
          <w:color w:val="000000"/>
        </w:rPr>
        <w:t xml:space="preserve">os teores de carbono, nitrogênio, hidrogênio e enxofre </w:t>
      </w:r>
      <w:r w:rsidRPr="00EA0613">
        <w:rPr>
          <w:rFonts w:ascii="Times New Roman" w:hAnsi="Times New Roman" w:cs="Times New Roman"/>
          <w:color w:val="000000"/>
        </w:rPr>
        <w:t>demonstram que possuem grande potencial energético, apresentando valores próximos a de outras biomassas encontrado nas referências.</w:t>
      </w:r>
      <w:r w:rsidR="000C6B0A">
        <w:rPr>
          <w:rFonts w:ascii="Times New Roman" w:hAnsi="Times New Roman" w:cs="Times New Roman"/>
          <w:color w:val="000000"/>
        </w:rPr>
        <w:t xml:space="preserve"> </w:t>
      </w:r>
      <w:r w:rsidRPr="00EA0613">
        <w:rPr>
          <w:rFonts w:ascii="Times New Roman" w:hAnsi="Times New Roman" w:cs="Times New Roman"/>
          <w:color w:val="000000"/>
        </w:rPr>
        <w:t>Segundo</w:t>
      </w:r>
      <w:r w:rsidRPr="003628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28B8">
        <w:rPr>
          <w:rFonts w:ascii="Times New Roman" w:hAnsi="Times New Roman" w:cs="Times New Roman"/>
          <w:color w:val="000000"/>
        </w:rPr>
        <w:t>Protássio</w:t>
      </w:r>
      <w:proofErr w:type="spellEnd"/>
      <w:r w:rsidRPr="003628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A0613">
        <w:rPr>
          <w:rFonts w:ascii="Times New Roman" w:hAnsi="Times New Roman" w:cs="Times New Roman"/>
          <w:color w:val="000000"/>
        </w:rPr>
        <w:t>et</w:t>
      </w:r>
      <w:proofErr w:type="gramEnd"/>
      <w:r w:rsidRPr="00EA0613">
        <w:rPr>
          <w:rFonts w:ascii="Times New Roman" w:hAnsi="Times New Roman" w:cs="Times New Roman"/>
          <w:color w:val="000000"/>
        </w:rPr>
        <w:t xml:space="preserve"> al. (2011), para utilização e produção de bioenergia é necessário que a biomassa apresente altos teores de carbono e hidrogênio e baixos teores de oxigênio, visto que </w:t>
      </w:r>
      <w:r w:rsidR="009007E4">
        <w:rPr>
          <w:rFonts w:ascii="Times New Roman" w:hAnsi="Times New Roman" w:cs="Times New Roman"/>
          <w:color w:val="000000"/>
        </w:rPr>
        <w:t>esses</w:t>
      </w:r>
      <w:r w:rsidR="009007E4" w:rsidRPr="00EA0613">
        <w:rPr>
          <w:rFonts w:ascii="Times New Roman" w:hAnsi="Times New Roman" w:cs="Times New Roman"/>
          <w:color w:val="000000"/>
        </w:rPr>
        <w:t xml:space="preserve"> </w:t>
      </w:r>
      <w:r w:rsidRPr="00EA0613">
        <w:rPr>
          <w:rFonts w:ascii="Times New Roman" w:hAnsi="Times New Roman" w:cs="Times New Roman"/>
          <w:color w:val="000000"/>
        </w:rPr>
        <w:t xml:space="preserve">componentes </w:t>
      </w:r>
      <w:r w:rsidR="009007E4">
        <w:rPr>
          <w:rFonts w:ascii="Times New Roman" w:hAnsi="Times New Roman" w:cs="Times New Roman"/>
          <w:color w:val="000000"/>
        </w:rPr>
        <w:t>da</w:t>
      </w:r>
      <w:r w:rsidRPr="00EA0613">
        <w:rPr>
          <w:rFonts w:ascii="Times New Roman" w:hAnsi="Times New Roman" w:cs="Times New Roman"/>
          <w:color w:val="000000"/>
        </w:rPr>
        <w:t xml:space="preserve"> biomassa estão correlacionados ao poder calorífico. </w:t>
      </w:r>
    </w:p>
    <w:p w14:paraId="1CB3CD30" w14:textId="77777777" w:rsidR="00E27689" w:rsidRPr="00E27689" w:rsidRDefault="00E27689" w:rsidP="00E27689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i/>
          <w:color w:val="000000"/>
        </w:rPr>
      </w:pPr>
      <w:r w:rsidRPr="00E27689">
        <w:rPr>
          <w:rFonts w:ascii="Times New Roman" w:hAnsi="Times New Roman" w:cs="Times New Roman"/>
          <w:i/>
          <w:color w:val="000000"/>
        </w:rPr>
        <w:t>Teores de Cinzas e Umidade</w:t>
      </w:r>
    </w:p>
    <w:p w14:paraId="04BA273D" w14:textId="49A79988" w:rsidR="00E27689" w:rsidRPr="007776DC" w:rsidRDefault="00E27689" w:rsidP="007776DC">
      <w:pPr>
        <w:spacing w:line="360" w:lineRule="auto"/>
        <w:jc w:val="both"/>
        <w:rPr>
          <w:rFonts w:ascii="Times New Roman" w:hAnsi="Times New Roman" w:cs="Times New Roman"/>
        </w:rPr>
      </w:pPr>
      <w:r w:rsidRPr="00E27689">
        <w:tab/>
      </w:r>
      <w:r w:rsidRPr="007776DC">
        <w:rPr>
          <w:rFonts w:ascii="Times New Roman" w:hAnsi="Times New Roman" w:cs="Times New Roman"/>
        </w:rPr>
        <w:t>A Tabela 4 apresenta os valores médios dos teores d</w:t>
      </w:r>
      <w:r w:rsidR="001E5D4E" w:rsidRPr="007776DC">
        <w:rPr>
          <w:rFonts w:ascii="Times New Roman" w:hAnsi="Times New Roman" w:cs="Times New Roman"/>
        </w:rPr>
        <w:t>e umidade e cinza</w:t>
      </w:r>
      <w:r w:rsidR="009007E4">
        <w:rPr>
          <w:rFonts w:ascii="Times New Roman" w:hAnsi="Times New Roman" w:cs="Times New Roman"/>
        </w:rPr>
        <w:t>.  P</w:t>
      </w:r>
      <w:r w:rsidRPr="007776DC">
        <w:rPr>
          <w:rFonts w:ascii="Times New Roman" w:hAnsi="Times New Roman" w:cs="Times New Roman"/>
        </w:rPr>
        <w:t>ara cada tipo de lignina</w:t>
      </w:r>
      <w:r w:rsidR="001E5D4E" w:rsidRPr="007776DC">
        <w:rPr>
          <w:rFonts w:ascii="Times New Roman" w:hAnsi="Times New Roman" w:cs="Times New Roman"/>
        </w:rPr>
        <w:t xml:space="preserve"> </w:t>
      </w:r>
      <w:r w:rsidR="009007E4">
        <w:rPr>
          <w:rFonts w:ascii="Times New Roman" w:hAnsi="Times New Roman" w:cs="Times New Roman"/>
        </w:rPr>
        <w:t>a</w:t>
      </w:r>
      <w:r w:rsidRPr="007776DC">
        <w:rPr>
          <w:rFonts w:ascii="Times New Roman" w:hAnsi="Times New Roman" w:cs="Times New Roman"/>
        </w:rPr>
        <w:t xml:space="preserve"> perda de massa </w:t>
      </w:r>
      <w:r w:rsidR="009007E4">
        <w:rPr>
          <w:rFonts w:ascii="Times New Roman" w:hAnsi="Times New Roman" w:cs="Times New Roman"/>
        </w:rPr>
        <w:t xml:space="preserve">é </w:t>
      </w:r>
      <w:r w:rsidRPr="007776DC">
        <w:rPr>
          <w:rFonts w:ascii="Times New Roman" w:hAnsi="Times New Roman" w:cs="Times New Roman"/>
        </w:rPr>
        <w:t xml:space="preserve">diferente, </w:t>
      </w:r>
      <w:r w:rsidR="009007E4">
        <w:rPr>
          <w:rFonts w:ascii="Times New Roman" w:hAnsi="Times New Roman" w:cs="Times New Roman"/>
        </w:rPr>
        <w:t>e</w:t>
      </w:r>
      <w:r w:rsidRPr="007776DC">
        <w:rPr>
          <w:rFonts w:ascii="Times New Roman" w:hAnsi="Times New Roman" w:cs="Times New Roman"/>
        </w:rPr>
        <w:t xml:space="preserve"> estas reduções estão associadas à eliminação de água e material orgânico presentes nas mesmas.</w:t>
      </w:r>
    </w:p>
    <w:p w14:paraId="6E74C300" w14:textId="50DCA7C7" w:rsidR="00E27689" w:rsidRPr="00B556AF" w:rsidRDefault="00E27689" w:rsidP="00E27689">
      <w:pPr>
        <w:pStyle w:val="Legenda"/>
        <w:keepNext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>Tabela 4</w:t>
      </w:r>
      <w:r w:rsidR="000434F1">
        <w:rPr>
          <w:rFonts w:ascii="Times New Roman" w:hAnsi="Times New Roman" w:cs="Times New Roman"/>
          <w:i w:val="0"/>
          <w:color w:val="auto"/>
          <w:sz w:val="24"/>
        </w:rPr>
        <w:t>.</w:t>
      </w:r>
      <w:r w:rsidRPr="00B556AF">
        <w:rPr>
          <w:rFonts w:ascii="Times New Roman" w:hAnsi="Times New Roman" w:cs="Times New Roman"/>
          <w:i w:val="0"/>
          <w:color w:val="auto"/>
          <w:sz w:val="24"/>
        </w:rPr>
        <w:t xml:space="preserve"> Teor de umidade (TU) e teor de cinzas (TC) nas amostras provenientes do bagaço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de cana (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LigBg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</w:rPr>
        <w:t>) e cascas de</w:t>
      </w:r>
      <w:r w:rsidRPr="00B556AF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abacaxi (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LigA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</w:rPr>
        <w:t>)</w:t>
      </w:r>
      <w:r w:rsidRPr="00B556AF">
        <w:rPr>
          <w:rFonts w:ascii="Times New Roman" w:hAnsi="Times New Roman" w:cs="Times New Roman"/>
          <w:i w:val="0"/>
          <w:color w:val="auto"/>
          <w:sz w:val="24"/>
        </w:rPr>
        <w:t>, com suas respectivas referências.</w:t>
      </w: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1386"/>
        <w:gridCol w:w="1541"/>
        <w:gridCol w:w="1385"/>
        <w:gridCol w:w="1232"/>
        <w:gridCol w:w="1385"/>
        <w:gridCol w:w="2307"/>
      </w:tblGrid>
      <w:tr w:rsidR="00E27689" w:rsidRPr="00E27689" w14:paraId="37F39D14" w14:textId="77777777" w:rsidTr="003A2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 w:val="restart"/>
            <w:vAlign w:val="center"/>
          </w:tcPr>
          <w:p w14:paraId="1069C7EC" w14:textId="77777777" w:rsidR="00E27689" w:rsidRPr="00E27689" w:rsidRDefault="00E27689" w:rsidP="00E2768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Amostra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275205" w14:textId="77777777" w:rsidR="00E27689" w:rsidRPr="00E27689" w:rsidRDefault="00E27689" w:rsidP="00E2768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TU %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8266E1" w14:textId="77777777" w:rsidR="00E27689" w:rsidRPr="00E27689" w:rsidRDefault="00E27689" w:rsidP="00E2768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TC %</w:t>
            </w:r>
          </w:p>
        </w:tc>
        <w:tc>
          <w:tcPr>
            <w:tcW w:w="2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B19024" w14:textId="77777777" w:rsidR="00E27689" w:rsidRPr="00E27689" w:rsidRDefault="00E27689" w:rsidP="00E2768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 xml:space="preserve">Referências </w:t>
            </w:r>
          </w:p>
        </w:tc>
      </w:tr>
      <w:tr w:rsidR="00E27689" w:rsidRPr="00E27689" w14:paraId="1D181627" w14:textId="77777777" w:rsidTr="003A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14:paraId="17DDE69A" w14:textId="77777777" w:rsidR="00E27689" w:rsidRPr="00E27689" w:rsidRDefault="00E27689" w:rsidP="00E2768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E46FB9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9ED483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B8A4C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TU %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</w:tcBorders>
            <w:vAlign w:val="center"/>
          </w:tcPr>
          <w:p w14:paraId="49053DE1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TC %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vAlign w:val="center"/>
          </w:tcPr>
          <w:p w14:paraId="6923CA63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</w:p>
        </w:tc>
      </w:tr>
      <w:tr w:rsidR="00E27689" w:rsidRPr="00E27689" w14:paraId="10F56E50" w14:textId="77777777" w:rsidTr="00E27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169602" w14:textId="77777777" w:rsidR="00E27689" w:rsidRPr="00E27689" w:rsidRDefault="00E27689" w:rsidP="00E27689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7689">
              <w:rPr>
                <w:rFonts w:ascii="Times New Roman" w:hAnsi="Times New Roman" w:cs="Times New Roman"/>
                <w:b w:val="0"/>
                <w:sz w:val="20"/>
                <w:szCs w:val="20"/>
              </w:rPr>
              <w:t>LigBg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59B46" w14:textId="77777777" w:rsidR="00E27689" w:rsidRPr="00E27689" w:rsidRDefault="00E27689" w:rsidP="00E2768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B062" w14:textId="77777777" w:rsidR="00E27689" w:rsidRPr="00E27689" w:rsidRDefault="00E27689" w:rsidP="00E2768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558549" w14:textId="77777777" w:rsidR="00E27689" w:rsidRPr="00E27689" w:rsidRDefault="00E27689" w:rsidP="00E2768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vAlign w:val="center"/>
          </w:tcPr>
          <w:p w14:paraId="48E6E14A" w14:textId="77777777" w:rsidR="00E27689" w:rsidRPr="00E27689" w:rsidRDefault="00E27689" w:rsidP="00E2768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vAlign w:val="center"/>
          </w:tcPr>
          <w:p w14:paraId="5C5DAE52" w14:textId="77777777" w:rsidR="00E27689" w:rsidRPr="00E27689" w:rsidRDefault="00E27689" w:rsidP="00E27689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Chaves et al, 2014</w:t>
            </w:r>
          </w:p>
        </w:tc>
      </w:tr>
      <w:tr w:rsidR="00E27689" w:rsidRPr="00E27689" w14:paraId="34637858" w14:textId="77777777" w:rsidTr="00E2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FBA1A6" w14:textId="77777777" w:rsidR="00E27689" w:rsidRPr="00E27689" w:rsidRDefault="00E27689" w:rsidP="00E27689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7689">
              <w:rPr>
                <w:rFonts w:ascii="Times New Roman" w:hAnsi="Times New Roman" w:cs="Times New Roman"/>
                <w:b w:val="0"/>
                <w:sz w:val="20"/>
                <w:szCs w:val="20"/>
              </w:rPr>
              <w:t>LigA</w:t>
            </w:r>
            <w:proofErr w:type="spellEnd"/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50E4E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B2BE98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BB97" w14:textId="77777777" w:rsidR="00E27689" w:rsidRPr="00E27689" w:rsidRDefault="00E27689" w:rsidP="00E27689">
            <w:pPr>
              <w:pStyle w:val="SemEspaamento"/>
              <w:tabs>
                <w:tab w:val="left" w:pos="735"/>
                <w:tab w:val="center" w:pos="95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vAlign w:val="center"/>
          </w:tcPr>
          <w:p w14:paraId="0B9758C4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  <w:vAlign w:val="center"/>
          </w:tcPr>
          <w:p w14:paraId="48350090" w14:textId="77777777" w:rsidR="00E27689" w:rsidRPr="00E27689" w:rsidRDefault="00E27689" w:rsidP="00E27689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9">
              <w:rPr>
                <w:rFonts w:ascii="Times New Roman" w:hAnsi="Times New Roman" w:cs="Times New Roman"/>
                <w:sz w:val="20"/>
                <w:szCs w:val="20"/>
              </w:rPr>
              <w:t>Santos, 2018</w:t>
            </w:r>
          </w:p>
        </w:tc>
      </w:tr>
    </w:tbl>
    <w:p w14:paraId="3B6D0775" w14:textId="77777777" w:rsidR="00E27689" w:rsidRPr="00B556AF" w:rsidRDefault="00E27689" w:rsidP="00E27689">
      <w:pPr>
        <w:pStyle w:val="Legenda"/>
        <w:jc w:val="center"/>
        <w:rPr>
          <w:rFonts w:ascii="Times New Roman" w:hAnsi="Times New Roman" w:cs="Times New Roman"/>
          <w:i w:val="0"/>
          <w:color w:val="auto"/>
          <w:sz w:val="22"/>
        </w:rPr>
      </w:pPr>
      <w:r w:rsidRPr="00E27689">
        <w:rPr>
          <w:rFonts w:ascii="Times New Roman" w:hAnsi="Times New Roman" w:cs="Times New Roman"/>
          <w:i w:val="0"/>
          <w:color w:val="auto"/>
          <w:sz w:val="20"/>
          <w:szCs w:val="20"/>
        </w:rPr>
        <w:t>Fonte: Autoria própria, 2019</w:t>
      </w:r>
      <w:r w:rsidRPr="00B556AF">
        <w:rPr>
          <w:rFonts w:ascii="Times New Roman" w:hAnsi="Times New Roman" w:cs="Times New Roman"/>
          <w:i w:val="0"/>
          <w:color w:val="auto"/>
          <w:sz w:val="22"/>
        </w:rPr>
        <w:t>.</w:t>
      </w:r>
    </w:p>
    <w:p w14:paraId="5E8CB4AE" w14:textId="77777777" w:rsidR="00E27689" w:rsidRPr="007776DC" w:rsidRDefault="00E27689" w:rsidP="007776DC">
      <w:pPr>
        <w:spacing w:line="360" w:lineRule="auto"/>
        <w:jc w:val="both"/>
        <w:rPr>
          <w:rFonts w:ascii="Times New Roman" w:hAnsi="Times New Roman" w:cs="Times New Roman"/>
        </w:rPr>
      </w:pPr>
      <w:r>
        <w:lastRenderedPageBreak/>
        <w:tab/>
      </w:r>
      <w:r w:rsidRPr="007776DC">
        <w:rPr>
          <w:rFonts w:ascii="Times New Roman" w:hAnsi="Times New Roman" w:cs="Times New Roman"/>
        </w:rPr>
        <w:t xml:space="preserve">O teor de umidade mostra a porcentagem de água presente em cada material, relacionado ao seu peso seco. A lignina, devido à grande presença de aromáticos na estrutura, tem um caráter mais hidrofóbico. Por sua vez, o teor de cinzas fornece a quantidade de resíduo inorgânico que permanece após a queima. Nota-se que todas as amostras apresentaram poucas diferenças significativas em relação ao teor de umidade, com valores próximos aos que foram encontrados </w:t>
      </w:r>
      <w:r w:rsidRPr="00FC358E">
        <w:rPr>
          <w:rFonts w:ascii="Times New Roman" w:hAnsi="Times New Roman" w:cs="Times New Roman"/>
        </w:rPr>
        <w:t>nas referências da literatura.</w:t>
      </w:r>
    </w:p>
    <w:p w14:paraId="1152EEE6" w14:textId="2A63A62E" w:rsidR="00107BF8" w:rsidRPr="00107BF8" w:rsidRDefault="00107BF8" w:rsidP="00107BF8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i/>
          <w:color w:val="000000"/>
        </w:rPr>
      </w:pPr>
      <w:r w:rsidRPr="00107BF8">
        <w:rPr>
          <w:rFonts w:ascii="Times New Roman" w:hAnsi="Times New Roman" w:cs="Times New Roman"/>
          <w:i/>
          <w:color w:val="000000"/>
        </w:rPr>
        <w:t>Análise calorimétrica exploratória diferencial (DSC)</w:t>
      </w:r>
      <w:r>
        <w:rPr>
          <w:rFonts w:ascii="Times New Roman" w:hAnsi="Times New Roman" w:cs="Times New Roman"/>
          <w:i/>
          <w:color w:val="000000"/>
        </w:rPr>
        <w:t xml:space="preserve"> e </w:t>
      </w:r>
      <w:r w:rsidRPr="00107BF8">
        <w:rPr>
          <w:rFonts w:ascii="Times New Roman" w:hAnsi="Times New Roman" w:cs="Times New Roman"/>
          <w:i/>
          <w:color w:val="000000"/>
        </w:rPr>
        <w:t>Análise termogravimétrica (TGA)</w:t>
      </w:r>
    </w:p>
    <w:p w14:paraId="3715EBB0" w14:textId="47D1C5A1" w:rsidR="00E27689" w:rsidRPr="007776DC" w:rsidRDefault="00107BF8" w:rsidP="007776D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6DC">
        <w:rPr>
          <w:rFonts w:ascii="Times New Roman" w:hAnsi="Times New Roman" w:cs="Times New Roman"/>
        </w:rPr>
        <w:t>As curvas (DSC) das ligninas extraídas estão apresentadas pelos te</w:t>
      </w:r>
      <w:r w:rsidR="00B768E3" w:rsidRPr="007776DC">
        <w:rPr>
          <w:rFonts w:ascii="Times New Roman" w:hAnsi="Times New Roman" w:cs="Times New Roman"/>
        </w:rPr>
        <w:t xml:space="preserve">rmogramas da </w:t>
      </w:r>
      <w:r w:rsidR="008008CA" w:rsidRPr="007776DC">
        <w:rPr>
          <w:rFonts w:ascii="Times New Roman" w:hAnsi="Times New Roman" w:cs="Times New Roman"/>
        </w:rPr>
        <w:t>Figu</w:t>
      </w:r>
      <w:r w:rsidR="00B768E3" w:rsidRPr="007776DC">
        <w:rPr>
          <w:rFonts w:ascii="Times New Roman" w:hAnsi="Times New Roman" w:cs="Times New Roman"/>
        </w:rPr>
        <w:t xml:space="preserve">ra </w:t>
      </w:r>
      <w:r w:rsidR="00CC0374" w:rsidRPr="007776DC">
        <w:rPr>
          <w:rFonts w:ascii="Times New Roman" w:hAnsi="Times New Roman" w:cs="Times New Roman"/>
        </w:rPr>
        <w:t>2</w:t>
      </w:r>
      <w:r w:rsidR="008008CA" w:rsidRPr="007776DC">
        <w:rPr>
          <w:rFonts w:ascii="Times New Roman" w:hAnsi="Times New Roman" w:cs="Times New Roman"/>
        </w:rPr>
        <w:t xml:space="preserve">, onde </w:t>
      </w:r>
      <w:r w:rsidRPr="007776DC">
        <w:rPr>
          <w:rFonts w:ascii="Times New Roman" w:hAnsi="Times New Roman" w:cs="Times New Roman"/>
        </w:rPr>
        <w:t>o comportamento térmico comp</w:t>
      </w:r>
      <w:r w:rsidR="008008CA" w:rsidRPr="007776DC">
        <w:rPr>
          <w:rFonts w:ascii="Times New Roman" w:hAnsi="Times New Roman" w:cs="Times New Roman"/>
        </w:rPr>
        <w:t xml:space="preserve">leto das amostras de lignina foi dividido em </w:t>
      </w:r>
      <w:r w:rsidRPr="007776DC">
        <w:rPr>
          <w:rFonts w:ascii="Times New Roman" w:hAnsi="Times New Roman" w:cs="Times New Roman"/>
        </w:rPr>
        <w:t>duas varre</w:t>
      </w:r>
      <w:r w:rsidR="008008CA" w:rsidRPr="007776DC">
        <w:rPr>
          <w:rFonts w:ascii="Times New Roman" w:hAnsi="Times New Roman" w:cs="Times New Roman"/>
        </w:rPr>
        <w:t>duras de temperatura</w:t>
      </w:r>
      <w:r w:rsidRPr="007776DC">
        <w:rPr>
          <w:rFonts w:ascii="Times New Roman" w:hAnsi="Times New Roman" w:cs="Times New Roman"/>
        </w:rPr>
        <w:t xml:space="preserve"> para melhor visualização das etapas térmicas das amostras.</w:t>
      </w:r>
    </w:p>
    <w:p w14:paraId="0EE91166" w14:textId="4ADEBACF" w:rsidR="00380DDC" w:rsidRPr="00380DDC" w:rsidRDefault="00380DDC" w:rsidP="00380DDC">
      <w:pPr>
        <w:pStyle w:val="Legenda"/>
        <w:keepNext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380DD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380DDC">
        <w:rPr>
          <w:rFonts w:ascii="Times New Roman" w:hAnsi="Times New Roman" w:cs="Times New Roman"/>
          <w:i w:val="0"/>
          <w:color w:val="auto"/>
          <w:sz w:val="24"/>
          <w:szCs w:val="24"/>
        </w:rPr>
        <w:t>. DSC das amostras a) 1ª varredura e b) 2ª varredura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A4712B2" w14:textId="77777777" w:rsidR="00380DDC" w:rsidRDefault="00380DDC" w:rsidP="00380DDC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792E0E1" wp14:editId="68C3808A">
            <wp:extent cx="5724525" cy="22764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5FBD" w14:textId="1A726CBC" w:rsidR="00931E4D" w:rsidRPr="00380DDC" w:rsidRDefault="00380DDC" w:rsidP="00380DDC">
      <w:pPr>
        <w:pStyle w:val="Legenda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 w:rsidRPr="00380DDC">
        <w:rPr>
          <w:rFonts w:ascii="Times New Roman" w:hAnsi="Times New Roman" w:cs="Times New Roman"/>
          <w:i w:val="0"/>
          <w:color w:val="auto"/>
          <w:sz w:val="20"/>
        </w:rPr>
        <w:t>Fonte: Autoria Própria, 2019.</w:t>
      </w:r>
    </w:p>
    <w:p w14:paraId="0DF0F0AF" w14:textId="318429FA" w:rsidR="00B768E3" w:rsidRPr="007776DC" w:rsidRDefault="000B2974" w:rsidP="007776D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6DC">
        <w:rPr>
          <w:rFonts w:ascii="Times New Roman" w:hAnsi="Times New Roman" w:cs="Times New Roman"/>
        </w:rPr>
        <w:t>A primeira varredura</w:t>
      </w:r>
      <w:r w:rsidR="00B768E3" w:rsidRPr="007776DC">
        <w:rPr>
          <w:rFonts w:ascii="Times New Roman" w:hAnsi="Times New Roman" w:cs="Times New Roman"/>
        </w:rPr>
        <w:t xml:space="preserve"> (Figura </w:t>
      </w:r>
      <w:r w:rsidR="007776DC">
        <w:rPr>
          <w:rFonts w:ascii="Times New Roman" w:hAnsi="Times New Roman" w:cs="Times New Roman"/>
        </w:rPr>
        <w:t>2</w:t>
      </w:r>
      <w:r w:rsidR="00B768E3" w:rsidRPr="007776DC">
        <w:rPr>
          <w:rFonts w:ascii="Times New Roman" w:hAnsi="Times New Roman" w:cs="Times New Roman"/>
        </w:rPr>
        <w:t>-a)</w:t>
      </w:r>
      <w:r w:rsidRPr="007776DC">
        <w:rPr>
          <w:rFonts w:ascii="Times New Roman" w:hAnsi="Times New Roman" w:cs="Times New Roman"/>
        </w:rPr>
        <w:t xml:space="preserve"> </w:t>
      </w:r>
      <w:r w:rsidR="00B768E3" w:rsidRPr="007776DC">
        <w:rPr>
          <w:rFonts w:ascii="Times New Roman" w:hAnsi="Times New Roman" w:cs="Times New Roman"/>
        </w:rPr>
        <w:t xml:space="preserve">mostra a saída dos voláteis presentes nas amostras, como a água principalmente. O que se pode notar é que as ligninas têm diferentes capacidades de </w:t>
      </w:r>
      <w:r w:rsidRPr="007776DC">
        <w:rPr>
          <w:rFonts w:ascii="Times New Roman" w:hAnsi="Times New Roman" w:cs="Times New Roman"/>
        </w:rPr>
        <w:t>reter a água em sua estrutura:</w:t>
      </w:r>
      <w:r w:rsidR="00B768E3" w:rsidRPr="007776DC">
        <w:rPr>
          <w:rFonts w:ascii="Times New Roman" w:hAnsi="Times New Roman" w:cs="Times New Roman"/>
        </w:rPr>
        <w:t xml:space="preserve"> a </w:t>
      </w:r>
      <w:proofErr w:type="spellStart"/>
      <w:r w:rsidRPr="007776DC">
        <w:rPr>
          <w:rFonts w:ascii="Times New Roman" w:hAnsi="Times New Roman" w:cs="Times New Roman"/>
        </w:rPr>
        <w:t>LigBg</w:t>
      </w:r>
      <w:proofErr w:type="spellEnd"/>
      <w:r w:rsidR="00B768E3" w:rsidRPr="007776DC">
        <w:rPr>
          <w:rFonts w:ascii="Times New Roman" w:hAnsi="Times New Roman" w:cs="Times New Roman"/>
        </w:rPr>
        <w:t xml:space="preserve"> possui menor capacidade de reter a água, </w:t>
      </w:r>
      <w:r w:rsidRPr="007776DC">
        <w:rPr>
          <w:rFonts w:ascii="Times New Roman" w:hAnsi="Times New Roman" w:cs="Times New Roman"/>
        </w:rPr>
        <w:t xml:space="preserve">enquanto </w:t>
      </w:r>
      <w:r w:rsidR="00B768E3" w:rsidRPr="007776DC">
        <w:rPr>
          <w:rFonts w:ascii="Times New Roman" w:hAnsi="Times New Roman" w:cs="Times New Roman"/>
        </w:rPr>
        <w:t xml:space="preserve">a </w:t>
      </w:r>
      <w:proofErr w:type="spellStart"/>
      <w:r w:rsidRPr="007776DC">
        <w:rPr>
          <w:rFonts w:ascii="Times New Roman" w:hAnsi="Times New Roman" w:cs="Times New Roman"/>
        </w:rPr>
        <w:t>LigA</w:t>
      </w:r>
      <w:proofErr w:type="spellEnd"/>
      <w:r w:rsidR="00B768E3" w:rsidRPr="007776DC">
        <w:rPr>
          <w:rFonts w:ascii="Times New Roman" w:hAnsi="Times New Roman" w:cs="Times New Roman"/>
        </w:rPr>
        <w:t xml:space="preserve"> tem maior capacidade de hidratação. Isso pode ser visto nas intensidades dos picos endotérmicos das ligninas em torno de 100 </w:t>
      </w:r>
      <w:proofErr w:type="spellStart"/>
      <w:r w:rsidR="00B768E3" w:rsidRPr="007776DC">
        <w:rPr>
          <w:rFonts w:ascii="Times New Roman" w:hAnsi="Times New Roman" w:cs="Times New Roman"/>
        </w:rPr>
        <w:t>ºC</w:t>
      </w:r>
      <w:proofErr w:type="spellEnd"/>
      <w:r w:rsidR="00B768E3" w:rsidRPr="007776DC">
        <w:rPr>
          <w:rFonts w:ascii="Times New Roman" w:hAnsi="Times New Roman" w:cs="Times New Roman"/>
        </w:rPr>
        <w:t xml:space="preserve">. Afora o fato de que diferentes estruturas podem influenciar no caráter hidrofóbico das ligninas, a presença de maior quantidade de polissacarídeos, aumenta a </w:t>
      </w:r>
      <w:proofErr w:type="spellStart"/>
      <w:r w:rsidR="00B768E3" w:rsidRPr="007776DC">
        <w:rPr>
          <w:rFonts w:ascii="Times New Roman" w:hAnsi="Times New Roman" w:cs="Times New Roman"/>
        </w:rPr>
        <w:t>hidrofilicidade</w:t>
      </w:r>
      <w:proofErr w:type="spellEnd"/>
      <w:r w:rsidR="00B768E3" w:rsidRPr="007776DC">
        <w:rPr>
          <w:rFonts w:ascii="Times New Roman" w:hAnsi="Times New Roman" w:cs="Times New Roman"/>
        </w:rPr>
        <w:t xml:space="preserve"> da amostra. </w:t>
      </w:r>
    </w:p>
    <w:p w14:paraId="7A575A73" w14:textId="13BCDB33" w:rsidR="00B768E3" w:rsidRPr="007776DC" w:rsidRDefault="00B768E3" w:rsidP="007776D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6DC">
        <w:rPr>
          <w:rFonts w:ascii="Times New Roman" w:hAnsi="Times New Roman" w:cs="Times New Roman"/>
        </w:rPr>
        <w:t xml:space="preserve">A lignina das cascas de abacaxi também se diferencia na região entre os picos em torno de 80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 e em torno de 148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>, que pode ser por apresentar outros voláteis em sua estrutura, ou possuir águas mais ou menos ligadas na mesma.</w:t>
      </w:r>
    </w:p>
    <w:p w14:paraId="5696FE8B" w14:textId="215D2D67" w:rsidR="00B768E3" w:rsidRPr="007776DC" w:rsidRDefault="00B768E3" w:rsidP="007776D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6DC">
        <w:rPr>
          <w:rFonts w:ascii="Times New Roman" w:hAnsi="Times New Roman" w:cs="Times New Roman"/>
        </w:rPr>
        <w:lastRenderedPageBreak/>
        <w:t xml:space="preserve"> Na segunda varredura, com temperatura de 220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 até 450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 (Figura </w:t>
      </w:r>
      <w:r w:rsidR="007776DC">
        <w:rPr>
          <w:rFonts w:ascii="Times New Roman" w:hAnsi="Times New Roman" w:cs="Times New Roman"/>
        </w:rPr>
        <w:t>2</w:t>
      </w:r>
      <w:r w:rsidRPr="007776DC">
        <w:rPr>
          <w:rFonts w:ascii="Times New Roman" w:hAnsi="Times New Roman" w:cs="Times New Roman"/>
        </w:rPr>
        <w:t xml:space="preserve">-b), observam-se as </w:t>
      </w:r>
      <w:proofErr w:type="spellStart"/>
      <w:r w:rsidRPr="007776DC">
        <w:rPr>
          <w:rFonts w:ascii="Times New Roman" w:hAnsi="Times New Roman" w:cs="Times New Roman"/>
        </w:rPr>
        <w:t>exotermas</w:t>
      </w:r>
      <w:proofErr w:type="spellEnd"/>
      <w:r w:rsidRPr="007776DC">
        <w:rPr>
          <w:rFonts w:ascii="Times New Roman" w:hAnsi="Times New Roman" w:cs="Times New Roman"/>
        </w:rPr>
        <w:t xml:space="preserve"> referentes à oxidação das ligninas, na qual ambas as amostras tem início em 370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 indo até 440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. Os máximos para a amostra de bagaço se situam em torno de 415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, enquanto </w:t>
      </w:r>
      <w:r w:rsidR="000434F1" w:rsidRPr="007776DC">
        <w:rPr>
          <w:rFonts w:ascii="Times New Roman" w:hAnsi="Times New Roman" w:cs="Times New Roman"/>
        </w:rPr>
        <w:t>a lignina</w:t>
      </w:r>
      <w:r w:rsidRPr="007776DC">
        <w:rPr>
          <w:rFonts w:ascii="Times New Roman" w:hAnsi="Times New Roman" w:cs="Times New Roman"/>
        </w:rPr>
        <w:t xml:space="preserve"> de abacaxi tem seu máximo de oxidação em 432 </w:t>
      </w:r>
      <w:proofErr w:type="spellStart"/>
      <w:r w:rsidRPr="007776DC">
        <w:rPr>
          <w:rFonts w:ascii="Times New Roman" w:hAnsi="Times New Roman" w:cs="Times New Roman"/>
        </w:rPr>
        <w:t>ºC</w:t>
      </w:r>
      <w:proofErr w:type="spellEnd"/>
      <w:r w:rsidRPr="007776DC">
        <w:rPr>
          <w:rFonts w:ascii="Times New Roman" w:hAnsi="Times New Roman" w:cs="Times New Roman"/>
        </w:rPr>
        <w:t xml:space="preserve">. </w:t>
      </w:r>
    </w:p>
    <w:p w14:paraId="22560A54" w14:textId="77777777" w:rsidR="0009668E" w:rsidRPr="0009668E" w:rsidRDefault="0009668E" w:rsidP="0009668E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i/>
          <w:color w:val="000000"/>
        </w:rPr>
      </w:pPr>
      <w:r w:rsidRPr="0009668E">
        <w:rPr>
          <w:rFonts w:ascii="Times New Roman" w:hAnsi="Times New Roman" w:cs="Times New Roman"/>
          <w:i/>
          <w:color w:val="000000"/>
        </w:rPr>
        <w:t>Poder Calorífico</w:t>
      </w:r>
    </w:p>
    <w:p w14:paraId="1AB9BCDD" w14:textId="3F1F3648" w:rsidR="0009668E" w:rsidRPr="007776DC" w:rsidRDefault="0009668E" w:rsidP="007776D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6DC">
        <w:rPr>
          <w:rFonts w:ascii="Times New Roman" w:hAnsi="Times New Roman" w:cs="Times New Roman"/>
        </w:rPr>
        <w:t xml:space="preserve">Para </w:t>
      </w:r>
      <w:r w:rsidR="00D36000">
        <w:rPr>
          <w:rFonts w:ascii="Times New Roman" w:hAnsi="Times New Roman" w:cs="Times New Roman"/>
        </w:rPr>
        <w:t>o</w:t>
      </w:r>
      <w:r w:rsidRPr="007776DC">
        <w:rPr>
          <w:rFonts w:ascii="Times New Roman" w:hAnsi="Times New Roman" w:cs="Times New Roman"/>
        </w:rPr>
        <w:t xml:space="preserve"> poder calorífico, os resultados obtidos </w:t>
      </w:r>
      <w:r w:rsidR="00D36000">
        <w:rPr>
          <w:rFonts w:ascii="Times New Roman" w:hAnsi="Times New Roman" w:cs="Times New Roman"/>
        </w:rPr>
        <w:t>são apresentados</w:t>
      </w:r>
      <w:r w:rsidRPr="007776DC">
        <w:rPr>
          <w:rFonts w:ascii="Times New Roman" w:hAnsi="Times New Roman" w:cs="Times New Roman"/>
        </w:rPr>
        <w:t xml:space="preserve"> na Tabela 5.</w:t>
      </w:r>
      <w:r w:rsidR="000B2974" w:rsidRPr="007776DC">
        <w:rPr>
          <w:rFonts w:ascii="Times New Roman" w:hAnsi="Times New Roman" w:cs="Times New Roman"/>
        </w:rPr>
        <w:t xml:space="preserve"> </w:t>
      </w:r>
      <w:r w:rsidR="00D36000">
        <w:rPr>
          <w:rFonts w:ascii="Times New Roman" w:hAnsi="Times New Roman" w:cs="Times New Roman"/>
        </w:rPr>
        <w:t xml:space="preserve">Ao </w:t>
      </w:r>
      <w:proofErr w:type="spellStart"/>
      <w:r w:rsidR="000B2974" w:rsidRPr="007776DC">
        <w:rPr>
          <w:rFonts w:ascii="Times New Roman" w:hAnsi="Times New Roman" w:cs="Times New Roman"/>
        </w:rPr>
        <w:t>correlaç</w:t>
      </w:r>
      <w:r w:rsidR="00D36000">
        <w:rPr>
          <w:rFonts w:ascii="Times New Roman" w:hAnsi="Times New Roman" w:cs="Times New Roman"/>
        </w:rPr>
        <w:t>ionar</w:t>
      </w:r>
      <w:proofErr w:type="spellEnd"/>
      <w:r w:rsidR="000B2974" w:rsidRPr="007776DC">
        <w:rPr>
          <w:rFonts w:ascii="Times New Roman" w:hAnsi="Times New Roman" w:cs="Times New Roman"/>
        </w:rPr>
        <w:t xml:space="preserve"> os </w:t>
      </w:r>
      <w:r w:rsidR="00E65A1D" w:rsidRPr="007776DC">
        <w:rPr>
          <w:rFonts w:ascii="Times New Roman" w:hAnsi="Times New Roman" w:cs="Times New Roman"/>
        </w:rPr>
        <w:t>valores obtidos para</w:t>
      </w:r>
      <w:r w:rsidR="000B2974" w:rsidRPr="007776DC">
        <w:rPr>
          <w:rFonts w:ascii="Times New Roman" w:hAnsi="Times New Roman" w:cs="Times New Roman"/>
        </w:rPr>
        <w:t xml:space="preserve"> cada amostra com as suas respectivas biomassas referenciadas na literatura (Tabela 6)</w:t>
      </w:r>
      <w:r w:rsidR="00E65A1D" w:rsidRPr="007776DC">
        <w:rPr>
          <w:rFonts w:ascii="Times New Roman" w:hAnsi="Times New Roman" w:cs="Times New Roman"/>
        </w:rPr>
        <w:t xml:space="preserve">, </w:t>
      </w:r>
      <w:r w:rsidR="00D36000" w:rsidRPr="007776DC">
        <w:rPr>
          <w:rFonts w:ascii="Times New Roman" w:hAnsi="Times New Roman" w:cs="Times New Roman"/>
        </w:rPr>
        <w:t>observa</w:t>
      </w:r>
      <w:r w:rsidR="00D36000">
        <w:rPr>
          <w:rFonts w:ascii="Times New Roman" w:hAnsi="Times New Roman" w:cs="Times New Roman"/>
        </w:rPr>
        <w:t>-se</w:t>
      </w:r>
      <w:r w:rsidR="00D36000" w:rsidRPr="007776DC">
        <w:rPr>
          <w:rFonts w:ascii="Times New Roman" w:hAnsi="Times New Roman" w:cs="Times New Roman"/>
        </w:rPr>
        <w:t xml:space="preserve"> </w:t>
      </w:r>
      <w:r w:rsidR="00E65A1D" w:rsidRPr="007776DC">
        <w:rPr>
          <w:rFonts w:ascii="Times New Roman" w:hAnsi="Times New Roman" w:cs="Times New Roman"/>
        </w:rPr>
        <w:t>uma semelhança nos valores encontrados, comprovando terem potencial na avaliação da viabilidade do seu uso na geração de energia</w:t>
      </w:r>
      <w:r w:rsidR="000B2974" w:rsidRPr="007776DC">
        <w:rPr>
          <w:rFonts w:ascii="Times New Roman" w:hAnsi="Times New Roman" w:cs="Times New Roman"/>
        </w:rPr>
        <w:t>.</w:t>
      </w:r>
    </w:p>
    <w:p w14:paraId="3BDDA17E" w14:textId="5A1DFE56" w:rsidR="0009668E" w:rsidRPr="009E0DDD" w:rsidRDefault="0009668E" w:rsidP="0009668E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9E0DDD">
        <w:rPr>
          <w:rFonts w:ascii="Times New Roman" w:hAnsi="Times New Roman" w:cs="Times New Roman"/>
          <w:sz w:val="24"/>
        </w:rPr>
        <w:t>Tabe</w:t>
      </w:r>
      <w:r>
        <w:rPr>
          <w:rFonts w:ascii="Times New Roman" w:hAnsi="Times New Roman" w:cs="Times New Roman"/>
          <w:sz w:val="24"/>
        </w:rPr>
        <w:t>la 5</w:t>
      </w:r>
      <w:r w:rsidR="000434F1">
        <w:rPr>
          <w:rFonts w:ascii="Times New Roman" w:hAnsi="Times New Roman" w:cs="Times New Roman"/>
          <w:sz w:val="24"/>
        </w:rPr>
        <w:t>.</w:t>
      </w:r>
      <w:r w:rsidRPr="009E0D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9E0DDD">
        <w:rPr>
          <w:rFonts w:ascii="Times New Roman" w:hAnsi="Times New Roman" w:cs="Times New Roman"/>
          <w:sz w:val="24"/>
        </w:rPr>
        <w:t>oder calorífico para as amostr</w:t>
      </w:r>
      <w:r>
        <w:rPr>
          <w:rFonts w:ascii="Times New Roman" w:hAnsi="Times New Roman" w:cs="Times New Roman"/>
          <w:sz w:val="24"/>
        </w:rPr>
        <w:t>as de lignina de bagaço (</w:t>
      </w:r>
      <w:proofErr w:type="spellStart"/>
      <w:r>
        <w:rPr>
          <w:rFonts w:ascii="Times New Roman" w:hAnsi="Times New Roman" w:cs="Times New Roman"/>
          <w:sz w:val="24"/>
        </w:rPr>
        <w:t>LigBg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9E0D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abacaxi (</w:t>
      </w:r>
      <w:proofErr w:type="spellStart"/>
      <w:r>
        <w:rPr>
          <w:rFonts w:ascii="Times New Roman" w:hAnsi="Times New Roman" w:cs="Times New Roman"/>
          <w:sz w:val="24"/>
        </w:rPr>
        <w:t>LigA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02"/>
        <w:gridCol w:w="3850"/>
        <w:gridCol w:w="3384"/>
      </w:tblGrid>
      <w:tr w:rsidR="0009668E" w:rsidRPr="0009668E" w14:paraId="1C4C5305" w14:textId="77777777" w:rsidTr="003A2E7E">
        <w:trPr>
          <w:jc w:val="center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9401B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>Amostras</w:t>
            </w:r>
          </w:p>
        </w:tc>
        <w:tc>
          <w:tcPr>
            <w:tcW w:w="2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23C6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>Poder calorífico (j g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>°C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</w:tcPr>
          <w:p w14:paraId="32024636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>Poder calorífico (kcal kg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9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09668E" w:rsidRPr="0009668E" w14:paraId="49EAA8F7" w14:textId="77777777" w:rsidTr="003A2E7E">
        <w:trPr>
          <w:jc w:val="center"/>
        </w:trPr>
        <w:tc>
          <w:tcPr>
            <w:tcW w:w="1084" w:type="pct"/>
            <w:shd w:val="clear" w:color="auto" w:fill="auto"/>
            <w:vAlign w:val="center"/>
          </w:tcPr>
          <w:p w14:paraId="3719B2A5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68E">
              <w:rPr>
                <w:rFonts w:ascii="Times New Roman" w:hAnsi="Times New Roman" w:cs="Times New Roman"/>
                <w:sz w:val="20"/>
                <w:szCs w:val="20"/>
              </w:rPr>
              <w:t>LigBg</w:t>
            </w:r>
            <w:proofErr w:type="spellEnd"/>
          </w:p>
        </w:tc>
        <w:tc>
          <w:tcPr>
            <w:tcW w:w="2084" w:type="pct"/>
            <w:shd w:val="clear" w:color="auto" w:fill="auto"/>
            <w:vAlign w:val="center"/>
          </w:tcPr>
          <w:p w14:paraId="6FE736E2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sz w:val="20"/>
                <w:szCs w:val="20"/>
              </w:rPr>
              <w:t>18465 ± 520</w:t>
            </w:r>
          </w:p>
        </w:tc>
        <w:tc>
          <w:tcPr>
            <w:tcW w:w="1832" w:type="pct"/>
          </w:tcPr>
          <w:p w14:paraId="14317F3B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sz w:val="20"/>
                <w:szCs w:val="20"/>
              </w:rPr>
              <w:t>4413,24</w:t>
            </w:r>
          </w:p>
        </w:tc>
      </w:tr>
      <w:tr w:rsidR="0009668E" w:rsidRPr="0009668E" w14:paraId="43D1C95F" w14:textId="77777777" w:rsidTr="0009668E">
        <w:trPr>
          <w:jc w:val="center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6DD63" w14:textId="7DFB0D1B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LigA</w:t>
            </w:r>
            <w:proofErr w:type="spellEnd"/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05FD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sz w:val="20"/>
                <w:szCs w:val="20"/>
              </w:rPr>
              <w:t>21890 ± 620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14:paraId="608AB1BF" w14:textId="77777777" w:rsidR="0009668E" w:rsidRPr="0009668E" w:rsidRDefault="0009668E" w:rsidP="003A2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8E">
              <w:rPr>
                <w:rFonts w:ascii="Times New Roman" w:hAnsi="Times New Roman" w:cs="Times New Roman"/>
                <w:sz w:val="20"/>
                <w:szCs w:val="20"/>
              </w:rPr>
              <w:t>5231,83</w:t>
            </w:r>
          </w:p>
        </w:tc>
      </w:tr>
    </w:tbl>
    <w:p w14:paraId="0A560AC6" w14:textId="10C7E198" w:rsidR="0009668E" w:rsidRPr="0009668E" w:rsidRDefault="0009668E" w:rsidP="00C428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9668E">
        <w:rPr>
          <w:rFonts w:ascii="Times New Roman" w:hAnsi="Times New Roman" w:cs="Times New Roman"/>
          <w:sz w:val="20"/>
          <w:szCs w:val="20"/>
        </w:rPr>
        <w:t>Fonte: Autoria própria, 2019.</w:t>
      </w:r>
    </w:p>
    <w:p w14:paraId="3A2A0177" w14:textId="77777777" w:rsidR="00C4286B" w:rsidRDefault="00C4286B" w:rsidP="0009668E">
      <w:pPr>
        <w:spacing w:line="360" w:lineRule="auto"/>
        <w:jc w:val="both"/>
      </w:pPr>
      <w:r>
        <w:tab/>
      </w:r>
    </w:p>
    <w:p w14:paraId="6862A0C0" w14:textId="69168A92" w:rsidR="00C4286B" w:rsidRPr="00C4286B" w:rsidRDefault="00C4286B" w:rsidP="00C4286B">
      <w:pPr>
        <w:spacing w:line="360" w:lineRule="auto"/>
        <w:jc w:val="center"/>
        <w:rPr>
          <w:rFonts w:ascii="Times New Roman" w:hAnsi="Times New Roman" w:cs="Times New Roman"/>
        </w:rPr>
      </w:pPr>
      <w:r w:rsidRPr="00C4286B">
        <w:rPr>
          <w:rFonts w:ascii="Times New Roman" w:hAnsi="Times New Roman" w:cs="Times New Roman"/>
        </w:rPr>
        <w:t>Tabela 6</w:t>
      </w:r>
      <w:r w:rsidR="000434F1">
        <w:rPr>
          <w:rFonts w:ascii="Times New Roman" w:hAnsi="Times New Roman" w:cs="Times New Roman"/>
        </w:rPr>
        <w:t>.</w:t>
      </w:r>
      <w:r w:rsidRPr="00C4286B">
        <w:rPr>
          <w:rFonts w:ascii="Times New Roman" w:hAnsi="Times New Roman" w:cs="Times New Roman"/>
        </w:rPr>
        <w:t xml:space="preserve"> Correlação entre poder calorífico encontrado em cada amostra, com as respectivas biomassas, cujos dados foram referenciados de outras pesquisas.</w:t>
      </w:r>
    </w:p>
    <w:tbl>
      <w:tblPr>
        <w:tblW w:w="5079" w:type="pct"/>
        <w:jc w:val="center"/>
        <w:tblLook w:val="04A0" w:firstRow="1" w:lastRow="0" w:firstColumn="1" w:lastColumn="0" w:noHBand="0" w:noVBand="1"/>
      </w:tblPr>
      <w:tblGrid>
        <w:gridCol w:w="2158"/>
        <w:gridCol w:w="2257"/>
        <w:gridCol w:w="2535"/>
        <w:gridCol w:w="2432"/>
      </w:tblGrid>
      <w:tr w:rsidR="00C4286B" w:rsidRPr="00C4286B" w14:paraId="1A4F3540" w14:textId="77777777" w:rsidTr="00C4286B">
        <w:trPr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C4E9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4D37EC58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86B">
              <w:rPr>
                <w:rFonts w:ascii="Times New Roman" w:hAnsi="Times New Roman" w:cs="Times New Roman"/>
                <w:b/>
                <w:sz w:val="20"/>
              </w:rPr>
              <w:t>Poder calorífico Lignina (kcal kg</w:t>
            </w:r>
            <w:r w:rsidRPr="00C4286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-1</w:t>
            </w:r>
            <w:r w:rsidRPr="00C4286B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14:paraId="7572D3AB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bscript"/>
              </w:rPr>
            </w:pPr>
            <w:r w:rsidRPr="00C4286B">
              <w:rPr>
                <w:rFonts w:ascii="Times New Roman" w:hAnsi="Times New Roman" w:cs="Times New Roman"/>
                <w:b/>
                <w:sz w:val="20"/>
              </w:rPr>
              <w:t>Poder calorífico Biomassa (kcal kg</w:t>
            </w:r>
            <w:r w:rsidRPr="00C4286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-1</w:t>
            </w:r>
            <w:r w:rsidRPr="00C4286B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512F2FF2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86B">
              <w:rPr>
                <w:rFonts w:ascii="Times New Roman" w:hAnsi="Times New Roman" w:cs="Times New Roman"/>
                <w:b/>
                <w:sz w:val="20"/>
              </w:rPr>
              <w:t>Referências (Autores)</w:t>
            </w:r>
          </w:p>
        </w:tc>
      </w:tr>
      <w:tr w:rsidR="00C4286B" w:rsidRPr="00C4286B" w14:paraId="6AE8CBD3" w14:textId="77777777" w:rsidTr="00C4286B">
        <w:trPr>
          <w:trHeight w:val="261"/>
          <w:jc w:val="center"/>
        </w:trPr>
        <w:tc>
          <w:tcPr>
            <w:tcW w:w="1150" w:type="pct"/>
            <w:shd w:val="clear" w:color="auto" w:fill="auto"/>
            <w:vAlign w:val="center"/>
          </w:tcPr>
          <w:p w14:paraId="6BBAA606" w14:textId="77777777" w:rsidR="00C4286B" w:rsidRPr="00C4286B" w:rsidRDefault="00C4286B" w:rsidP="003A2E7E">
            <w:pPr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Bagaço de cana</w:t>
            </w:r>
          </w:p>
        </w:tc>
        <w:tc>
          <w:tcPr>
            <w:tcW w:w="1203" w:type="pct"/>
          </w:tcPr>
          <w:p w14:paraId="728022D9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4413,24</w:t>
            </w:r>
          </w:p>
        </w:tc>
        <w:tc>
          <w:tcPr>
            <w:tcW w:w="1351" w:type="pct"/>
          </w:tcPr>
          <w:p w14:paraId="38C5C39D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4274,48</w:t>
            </w:r>
          </w:p>
        </w:tc>
        <w:tc>
          <w:tcPr>
            <w:tcW w:w="1296" w:type="pct"/>
          </w:tcPr>
          <w:p w14:paraId="15EE1D5A" w14:textId="77777777" w:rsidR="00C4286B" w:rsidRPr="00C4286B" w:rsidRDefault="00C4286B" w:rsidP="003A2E7E">
            <w:pPr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Paula et. al. (2011)</w:t>
            </w:r>
          </w:p>
        </w:tc>
      </w:tr>
      <w:tr w:rsidR="00C4286B" w:rsidRPr="00C4286B" w14:paraId="085A2723" w14:textId="77777777" w:rsidTr="00C4286B">
        <w:trPr>
          <w:jc w:val="center"/>
        </w:trPr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8EB93" w14:textId="77777777" w:rsidR="00C4286B" w:rsidRPr="00C4286B" w:rsidRDefault="00C4286B" w:rsidP="003A2E7E">
            <w:pPr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 xml:space="preserve">Cascas de Abacaxi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63723E24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5231,83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30C6DFD1" w14:textId="77777777" w:rsidR="00C4286B" w:rsidRPr="00C4286B" w:rsidRDefault="00C4286B" w:rsidP="003A2E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4247,13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58852E9D" w14:textId="77777777" w:rsidR="00C4286B" w:rsidRPr="00C4286B" w:rsidRDefault="00C4286B" w:rsidP="003A2E7E">
            <w:pPr>
              <w:rPr>
                <w:rFonts w:ascii="Times New Roman" w:hAnsi="Times New Roman" w:cs="Times New Roman"/>
                <w:sz w:val="20"/>
              </w:rPr>
            </w:pPr>
            <w:r w:rsidRPr="00C4286B">
              <w:rPr>
                <w:rFonts w:ascii="Times New Roman" w:hAnsi="Times New Roman" w:cs="Times New Roman"/>
                <w:sz w:val="20"/>
              </w:rPr>
              <w:t>Santos (2018)</w:t>
            </w:r>
          </w:p>
        </w:tc>
      </w:tr>
    </w:tbl>
    <w:p w14:paraId="662C25A3" w14:textId="77777777" w:rsidR="00C4286B" w:rsidRPr="00C4286B" w:rsidRDefault="00C4286B" w:rsidP="00C4286B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86B">
        <w:rPr>
          <w:rFonts w:ascii="Times New Roman" w:hAnsi="Times New Roman" w:cs="Times New Roman"/>
          <w:sz w:val="20"/>
          <w:szCs w:val="20"/>
        </w:rPr>
        <w:t>Fonte: Autoria própria, 2019.</w:t>
      </w:r>
    </w:p>
    <w:p w14:paraId="136CE13C" w14:textId="77777777" w:rsidR="00C4286B" w:rsidRPr="00C4286B" w:rsidRDefault="00C4286B" w:rsidP="00C4286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2F98523D" w14:textId="77777777" w:rsidR="00527D60" w:rsidRDefault="00527D60" w:rsidP="00527D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27D60">
        <w:rPr>
          <w:rFonts w:ascii="Times New Roman" w:eastAsia="Times New Roman" w:hAnsi="Times New Roman" w:cs="Times New Roman"/>
          <w:b/>
          <w:bCs/>
          <w:color w:val="000000"/>
        </w:rPr>
        <w:t xml:space="preserve">Conclusões </w:t>
      </w:r>
    </w:p>
    <w:p w14:paraId="3B42B6B9" w14:textId="097690F2" w:rsidR="00C4286B" w:rsidRPr="00C4286B" w:rsidRDefault="00E65A1D" w:rsidP="00C4286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C4286B" w:rsidRPr="00C4286B">
        <w:rPr>
          <w:rFonts w:ascii="Times New Roman" w:hAnsi="Times New Roman" w:cs="Times New Roman"/>
          <w:color w:val="000000"/>
        </w:rPr>
        <w:t xml:space="preserve">ode-se concluir que </w:t>
      </w:r>
      <w:r w:rsidR="00C4286B">
        <w:rPr>
          <w:rFonts w:ascii="Times New Roman" w:hAnsi="Times New Roman" w:cs="Times New Roman"/>
          <w:color w:val="000000"/>
        </w:rPr>
        <w:t>ambas</w:t>
      </w:r>
      <w:r>
        <w:rPr>
          <w:rFonts w:ascii="Times New Roman" w:hAnsi="Times New Roman" w:cs="Times New Roman"/>
          <w:color w:val="000000"/>
        </w:rPr>
        <w:t xml:space="preserve"> as ligninas</w:t>
      </w:r>
      <w:r w:rsidR="00D85597">
        <w:rPr>
          <w:rFonts w:ascii="Times New Roman" w:hAnsi="Times New Roman" w:cs="Times New Roman"/>
          <w:color w:val="000000"/>
        </w:rPr>
        <w:t xml:space="preserve">, </w:t>
      </w:r>
      <w:r w:rsidR="00C4286B" w:rsidRPr="00C4286B">
        <w:rPr>
          <w:rFonts w:ascii="Times New Roman" w:hAnsi="Times New Roman" w:cs="Times New Roman"/>
          <w:color w:val="000000"/>
        </w:rPr>
        <w:t xml:space="preserve">têm alto potencial para aproveitamento calorífico e energético, visto nos resultados de poder calorífico e teor de carbono em suas composições, o que </w:t>
      </w:r>
      <w:r w:rsidR="00D85597">
        <w:rPr>
          <w:rFonts w:ascii="Times New Roman" w:hAnsi="Times New Roman" w:cs="Times New Roman"/>
          <w:color w:val="000000"/>
        </w:rPr>
        <w:t>configura</w:t>
      </w:r>
      <w:r w:rsidR="00C4286B" w:rsidRPr="00C4286B">
        <w:rPr>
          <w:rFonts w:ascii="Times New Roman" w:hAnsi="Times New Roman" w:cs="Times New Roman"/>
          <w:color w:val="000000"/>
        </w:rPr>
        <w:t xml:space="preserve"> </w:t>
      </w:r>
      <w:r w:rsidR="00D85597" w:rsidRPr="00C4286B">
        <w:rPr>
          <w:rFonts w:ascii="Times New Roman" w:hAnsi="Times New Roman" w:cs="Times New Roman"/>
          <w:color w:val="000000"/>
        </w:rPr>
        <w:t>a</w:t>
      </w:r>
      <w:r w:rsidR="00D85597">
        <w:rPr>
          <w:rFonts w:ascii="Times New Roman" w:hAnsi="Times New Roman" w:cs="Times New Roman"/>
          <w:color w:val="000000"/>
        </w:rPr>
        <w:t>lta</w:t>
      </w:r>
      <w:r w:rsidR="00D85597" w:rsidRPr="00C4286B">
        <w:rPr>
          <w:rFonts w:ascii="Times New Roman" w:hAnsi="Times New Roman" w:cs="Times New Roman"/>
          <w:color w:val="000000"/>
        </w:rPr>
        <w:t xml:space="preserve"> </w:t>
      </w:r>
      <w:r w:rsidR="00C4286B" w:rsidRPr="00C4286B">
        <w:rPr>
          <w:rFonts w:ascii="Times New Roman" w:hAnsi="Times New Roman" w:cs="Times New Roman"/>
          <w:color w:val="000000"/>
        </w:rPr>
        <w:t xml:space="preserve">rentabilidade </w:t>
      </w:r>
      <w:r w:rsidR="00D85597">
        <w:rPr>
          <w:rFonts w:ascii="Times New Roman" w:hAnsi="Times New Roman" w:cs="Times New Roman"/>
          <w:color w:val="000000"/>
        </w:rPr>
        <w:t>n</w:t>
      </w:r>
      <w:r w:rsidR="00D85597" w:rsidRPr="00C4286B">
        <w:rPr>
          <w:rFonts w:ascii="Times New Roman" w:hAnsi="Times New Roman" w:cs="Times New Roman"/>
          <w:color w:val="000000"/>
        </w:rPr>
        <w:t xml:space="preserve">a </w:t>
      </w:r>
      <w:r w:rsidR="00C4286B" w:rsidRPr="00C4286B">
        <w:rPr>
          <w:rFonts w:ascii="Times New Roman" w:hAnsi="Times New Roman" w:cs="Times New Roman"/>
          <w:color w:val="000000"/>
        </w:rPr>
        <w:t>produção de bioenergia.</w:t>
      </w:r>
    </w:p>
    <w:p w14:paraId="0968AE94" w14:textId="09247CEA" w:rsidR="00C4286B" w:rsidRDefault="00D85597" w:rsidP="00C4286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Quanto</w:t>
      </w:r>
      <w:r w:rsidRPr="00C428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C4286B" w:rsidRPr="00C4286B">
        <w:rPr>
          <w:rFonts w:ascii="Times New Roman" w:hAnsi="Times New Roman" w:cs="Times New Roman"/>
          <w:color w:val="000000"/>
        </w:rPr>
        <w:t>os aspectos gerais dos resultados</w:t>
      </w:r>
      <w:r w:rsidR="00C4286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podemos enfatizar que </w:t>
      </w:r>
      <w:r w:rsidR="003A5E84" w:rsidRPr="003A5E84">
        <w:rPr>
          <w:rFonts w:ascii="Times New Roman" w:hAnsi="Times New Roman" w:cs="Times New Roman"/>
          <w:color w:val="000000"/>
        </w:rPr>
        <w:t xml:space="preserve">a lignina </w:t>
      </w:r>
      <w:r w:rsidR="00E65A1D">
        <w:rPr>
          <w:rFonts w:ascii="Times New Roman" w:hAnsi="Times New Roman" w:cs="Times New Roman"/>
          <w:color w:val="000000"/>
        </w:rPr>
        <w:t>de</w:t>
      </w:r>
      <w:r w:rsidR="003A5E84" w:rsidRPr="003A5E84">
        <w:rPr>
          <w:rFonts w:ascii="Times New Roman" w:hAnsi="Times New Roman" w:cs="Times New Roman"/>
          <w:color w:val="000000"/>
        </w:rPr>
        <w:t xml:space="preserve"> bagaço de cana-de-açúcar</w:t>
      </w:r>
      <w:r>
        <w:rPr>
          <w:rFonts w:ascii="Times New Roman" w:hAnsi="Times New Roman" w:cs="Times New Roman"/>
          <w:color w:val="000000"/>
        </w:rPr>
        <w:t xml:space="preserve"> se </w:t>
      </w:r>
      <w:r w:rsidR="00BD6E1B">
        <w:rPr>
          <w:rFonts w:ascii="Times New Roman" w:hAnsi="Times New Roman" w:cs="Times New Roman"/>
          <w:color w:val="000000"/>
        </w:rPr>
        <w:t>sobressai</w:t>
      </w:r>
      <w:r w:rsidR="003A5E84" w:rsidRPr="003A5E84">
        <w:rPr>
          <w:rFonts w:ascii="Times New Roman" w:hAnsi="Times New Roman" w:cs="Times New Roman"/>
          <w:color w:val="000000"/>
        </w:rPr>
        <w:t>, pelo acesso e disponibilidade para utilização, além de maior quantidade de biomassa produzida pelo setor industrial, tanto das indústrias sucroalcooleiras quanto de etanol de segunda geração</w:t>
      </w:r>
      <w:r w:rsidR="009C744A">
        <w:rPr>
          <w:rFonts w:ascii="Times New Roman" w:hAnsi="Times New Roman" w:cs="Times New Roman"/>
          <w:color w:val="000000"/>
        </w:rPr>
        <w:t xml:space="preserve">, cuja parte do </w:t>
      </w:r>
      <w:r w:rsidR="00C4286B" w:rsidRPr="00C4286B">
        <w:rPr>
          <w:rFonts w:ascii="Times New Roman" w:hAnsi="Times New Roman" w:cs="Times New Roman"/>
          <w:color w:val="000000"/>
        </w:rPr>
        <w:t>conteúdo</w:t>
      </w:r>
      <w:r w:rsidR="009C744A">
        <w:rPr>
          <w:rFonts w:ascii="Times New Roman" w:hAnsi="Times New Roman" w:cs="Times New Roman"/>
          <w:color w:val="000000"/>
        </w:rPr>
        <w:t xml:space="preserve"> é</w:t>
      </w:r>
      <w:r w:rsidR="00C4286B" w:rsidRPr="00C4286B">
        <w:rPr>
          <w:rFonts w:ascii="Times New Roman" w:hAnsi="Times New Roman" w:cs="Times New Roman"/>
          <w:color w:val="000000"/>
        </w:rPr>
        <w:t xml:space="preserve"> </w:t>
      </w:r>
      <w:r w:rsidR="00E65A1D" w:rsidRPr="00C4286B">
        <w:rPr>
          <w:rFonts w:ascii="Times New Roman" w:hAnsi="Times New Roman" w:cs="Times New Roman"/>
          <w:color w:val="000000"/>
        </w:rPr>
        <w:t>inutilizada</w:t>
      </w:r>
      <w:r w:rsidR="00C4286B" w:rsidRPr="00C4286B">
        <w:rPr>
          <w:rFonts w:ascii="Times New Roman" w:hAnsi="Times New Roman" w:cs="Times New Roman"/>
          <w:color w:val="000000"/>
        </w:rPr>
        <w:t xml:space="preserve"> e </w:t>
      </w:r>
      <w:r w:rsidR="009C744A">
        <w:rPr>
          <w:rFonts w:ascii="Times New Roman" w:hAnsi="Times New Roman" w:cs="Times New Roman"/>
          <w:color w:val="000000"/>
        </w:rPr>
        <w:t xml:space="preserve">com </w:t>
      </w:r>
      <w:r w:rsidR="00C4286B" w:rsidRPr="00C4286B">
        <w:rPr>
          <w:rFonts w:ascii="Times New Roman" w:hAnsi="Times New Roman" w:cs="Times New Roman"/>
          <w:color w:val="000000"/>
        </w:rPr>
        <w:t>descarte impróprio.</w:t>
      </w:r>
    </w:p>
    <w:p w14:paraId="1759A110" w14:textId="4FA82635" w:rsidR="009C744A" w:rsidRPr="00C4286B" w:rsidRDefault="009C744A" w:rsidP="00C4286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C744A">
        <w:rPr>
          <w:rFonts w:ascii="Times New Roman" w:hAnsi="Times New Roman" w:cs="Times New Roman"/>
          <w:color w:val="000000"/>
        </w:rPr>
        <w:t xml:space="preserve">Também foi possível fazer uma correlação energética (termoquímica) entre os materiais dos quais as ligninas foram extraídas e as próprias ligninas, o que possibilita, a estas </w:t>
      </w:r>
      <w:r w:rsidRPr="009C744A">
        <w:rPr>
          <w:rFonts w:ascii="Times New Roman" w:hAnsi="Times New Roman" w:cs="Times New Roman"/>
          <w:color w:val="000000"/>
        </w:rPr>
        <w:lastRenderedPageBreak/>
        <w:t>biomassas, serem utilizadas no aproveitamento energético de maneira mais adequada e eficaz.</w:t>
      </w:r>
      <w:r>
        <w:rPr>
          <w:rFonts w:ascii="Times New Roman" w:hAnsi="Times New Roman" w:cs="Times New Roman"/>
          <w:color w:val="000000"/>
        </w:rPr>
        <w:t xml:space="preserve"> </w:t>
      </w:r>
      <w:r w:rsidRPr="009C744A">
        <w:rPr>
          <w:rFonts w:ascii="Times New Roman" w:hAnsi="Times New Roman" w:cs="Times New Roman"/>
          <w:color w:val="000000"/>
        </w:rPr>
        <w:t>A quantidade de umidade presente nestas amostras, que poderia ser um fator negativo no aproveitamento energético, pode ser contornad</w:t>
      </w:r>
      <w:r w:rsidR="00BD6E1B">
        <w:rPr>
          <w:rFonts w:ascii="Times New Roman" w:hAnsi="Times New Roman" w:cs="Times New Roman"/>
          <w:color w:val="000000"/>
        </w:rPr>
        <w:t>a</w:t>
      </w:r>
      <w:r w:rsidRPr="009C744A">
        <w:rPr>
          <w:rFonts w:ascii="Times New Roman" w:hAnsi="Times New Roman" w:cs="Times New Roman"/>
          <w:color w:val="000000"/>
        </w:rPr>
        <w:t xml:space="preserve"> se levarmos em conta que durante as crises hídricas, </w:t>
      </w:r>
      <w:r w:rsidR="00D85597">
        <w:rPr>
          <w:rFonts w:ascii="Times New Roman" w:hAnsi="Times New Roman" w:cs="Times New Roman"/>
          <w:color w:val="000000"/>
        </w:rPr>
        <w:t xml:space="preserve">período em que se </w:t>
      </w:r>
      <w:r w:rsidR="00BD6E1B">
        <w:rPr>
          <w:rFonts w:ascii="Times New Roman" w:hAnsi="Times New Roman" w:cs="Times New Roman"/>
          <w:color w:val="000000"/>
        </w:rPr>
        <w:t>utilizam</w:t>
      </w:r>
      <w:r w:rsidR="00D85597">
        <w:rPr>
          <w:rFonts w:ascii="Times New Roman" w:hAnsi="Times New Roman" w:cs="Times New Roman"/>
          <w:color w:val="000000"/>
        </w:rPr>
        <w:t xml:space="preserve"> forteme</w:t>
      </w:r>
      <w:bookmarkStart w:id="1" w:name="_GoBack"/>
      <w:bookmarkEnd w:id="1"/>
      <w:r w:rsidR="00D85597">
        <w:rPr>
          <w:rFonts w:ascii="Times New Roman" w:hAnsi="Times New Roman" w:cs="Times New Roman"/>
          <w:color w:val="000000"/>
        </w:rPr>
        <w:t xml:space="preserve">nte as termoelétricas, </w:t>
      </w:r>
      <w:r w:rsidRPr="009C744A">
        <w:rPr>
          <w:rFonts w:ascii="Times New Roman" w:hAnsi="Times New Roman" w:cs="Times New Roman"/>
          <w:color w:val="000000"/>
        </w:rPr>
        <w:t xml:space="preserve">esses materiais estariam secando devido </w:t>
      </w:r>
      <w:r w:rsidR="00BD6E1B" w:rsidRPr="009C744A">
        <w:rPr>
          <w:rFonts w:ascii="Times New Roman" w:hAnsi="Times New Roman" w:cs="Times New Roman"/>
          <w:color w:val="000000"/>
        </w:rPr>
        <w:t>à</w:t>
      </w:r>
      <w:r w:rsidRPr="009C744A">
        <w:rPr>
          <w:rFonts w:ascii="Times New Roman" w:hAnsi="Times New Roman" w:cs="Times New Roman"/>
          <w:color w:val="000000"/>
        </w:rPr>
        <w:t xml:space="preserve"> alta insolação em grande parte do Brasil.</w:t>
      </w:r>
    </w:p>
    <w:p w14:paraId="2BF7A1F2" w14:textId="77777777" w:rsidR="006B529E" w:rsidRPr="006B529E" w:rsidRDefault="006B529E" w:rsidP="00FA6194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Agradecimentos</w:t>
      </w:r>
    </w:p>
    <w:p w14:paraId="560C870C" w14:textId="57B430B6" w:rsidR="006B529E" w:rsidRPr="006B529E" w:rsidRDefault="00CC0374" w:rsidP="002B530E">
      <w:pPr>
        <w:spacing w:before="120" w:after="12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CC0374">
        <w:rPr>
          <w:rFonts w:ascii="Times New Roman" w:hAnsi="Times New Roman" w:cs="Times New Roman"/>
          <w:color w:val="000000"/>
        </w:rPr>
        <w:t>Os autores agradecem ao apoio da Fundação de Amparo à Pesquisa do Estado de Minas Gerais (FAPEMIG), ao Conselho Nacional de Pesquisa (CNPq) e à Coordenação de Aperfeiçoamento de Pessoal de Nível Superior (CAPES) no desenvolvimento deste trabalho.</w:t>
      </w:r>
    </w:p>
    <w:p w14:paraId="39A5B1CC" w14:textId="77777777" w:rsidR="006B529E" w:rsidRPr="006B529E" w:rsidRDefault="006B529E" w:rsidP="00FA6194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6B529E">
        <w:rPr>
          <w:rFonts w:ascii="Times New Roman" w:eastAsia="Times New Roman" w:hAnsi="Times New Roman" w:cs="Times New Roman"/>
          <w:b/>
          <w:bCs/>
          <w:color w:val="000000"/>
        </w:rPr>
        <w:t>Referências Bibliográficas</w:t>
      </w:r>
    </w:p>
    <w:p w14:paraId="4A3854A1" w14:textId="1CF56F58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ANDRADE, L. A. (2015) Dissertação de Mestrado. Aproveitamento do caroço de manga: um estudo de viabilidade da piról</w:t>
      </w:r>
      <w:r>
        <w:rPr>
          <w:rFonts w:ascii="Times New Roman" w:hAnsi="Times New Roman" w:cs="Times New Roman"/>
          <w:color w:val="000000"/>
          <w:sz w:val="20"/>
        </w:rPr>
        <w:t>ise usando energia solar. 126 f</w:t>
      </w:r>
    </w:p>
    <w:p w14:paraId="7AC5C67F" w14:textId="22AD4976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CHAVES, C. V. L. et al. (2014) XX Congresso Brasileiro de Engenharia Química. Caracterização física do bagaço de cana-de-açú</w:t>
      </w:r>
      <w:r>
        <w:rPr>
          <w:rFonts w:ascii="Times New Roman" w:hAnsi="Times New Roman" w:cs="Times New Roman"/>
          <w:color w:val="000000"/>
          <w:sz w:val="20"/>
        </w:rPr>
        <w:t>car. 19-22 out., Florianópolis.</w:t>
      </w:r>
    </w:p>
    <w:p w14:paraId="5A716D32" w14:textId="070711F0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7B3CFE">
        <w:rPr>
          <w:rFonts w:ascii="Times New Roman" w:hAnsi="Times New Roman" w:cs="Times New Roman"/>
          <w:color w:val="000000"/>
          <w:sz w:val="20"/>
        </w:rPr>
        <w:t xml:space="preserve">FERNANDES, A. S. MIGUEL, E. R. (2011) III Encontro Científico E Simpósio De Educação </w:t>
      </w:r>
      <w:proofErr w:type="spellStart"/>
      <w:r w:rsidRPr="007B3CFE">
        <w:rPr>
          <w:rFonts w:ascii="Times New Roman" w:hAnsi="Times New Roman" w:cs="Times New Roman"/>
          <w:color w:val="000000"/>
          <w:sz w:val="20"/>
        </w:rPr>
        <w:t>Unisalesiano</w:t>
      </w:r>
      <w:proofErr w:type="spellEnd"/>
      <w:r w:rsidRPr="007B3CFE">
        <w:rPr>
          <w:rFonts w:ascii="Times New Roman" w:hAnsi="Times New Roman" w:cs="Times New Roman"/>
          <w:color w:val="000000"/>
          <w:sz w:val="20"/>
        </w:rPr>
        <w:t xml:space="preserve">. A importância da utilização do bagaço de cana-de-açúcar na geração de energia em termelétricas. </w:t>
      </w:r>
      <w:proofErr w:type="spellStart"/>
      <w:r>
        <w:rPr>
          <w:rFonts w:ascii="Times New Roman" w:hAnsi="Times New Roman" w:cs="Times New Roman"/>
          <w:color w:val="000000"/>
          <w:sz w:val="20"/>
          <w:lang w:val="en-US"/>
        </w:rPr>
        <w:t>Brasil</w:t>
      </w:r>
      <w:proofErr w:type="spellEnd"/>
      <w:r>
        <w:rPr>
          <w:rFonts w:ascii="Times New Roman" w:hAnsi="Times New Roman" w:cs="Times New Roman"/>
          <w:color w:val="000000"/>
          <w:sz w:val="20"/>
          <w:lang w:val="en-US"/>
        </w:rPr>
        <w:t>.</w:t>
      </w:r>
    </w:p>
    <w:p w14:paraId="0A72E041" w14:textId="0C46006F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7B3CFE">
        <w:rPr>
          <w:rFonts w:ascii="Times New Roman" w:hAnsi="Times New Roman" w:cs="Times New Roman"/>
          <w:color w:val="000000"/>
          <w:sz w:val="20"/>
          <w:lang w:val="en-US"/>
        </w:rPr>
        <w:t xml:space="preserve">PAULA, L. E. R. et al. (2011) </w:t>
      </w:r>
      <w:proofErr w:type="spellStart"/>
      <w:r w:rsidRPr="007B3CFE">
        <w:rPr>
          <w:rFonts w:ascii="Times New Roman" w:hAnsi="Times New Roman" w:cs="Times New Roman"/>
          <w:color w:val="000000"/>
          <w:sz w:val="20"/>
          <w:lang w:val="en-US"/>
        </w:rPr>
        <w:t>Cerne</w:t>
      </w:r>
      <w:proofErr w:type="spellEnd"/>
      <w:r w:rsidRPr="007B3CFE">
        <w:rPr>
          <w:rFonts w:ascii="Times New Roman" w:hAnsi="Times New Roman" w:cs="Times New Roman"/>
          <w:color w:val="000000"/>
          <w:sz w:val="20"/>
          <w:lang w:val="en-US"/>
        </w:rPr>
        <w:t>. Characterization of residues from plant biomass for use in energy gener</w:t>
      </w:r>
      <w:r>
        <w:rPr>
          <w:rFonts w:ascii="Times New Roman" w:hAnsi="Times New Roman" w:cs="Times New Roman"/>
          <w:color w:val="000000"/>
          <w:sz w:val="20"/>
          <w:lang w:val="en-US"/>
        </w:rPr>
        <w:t>ation. v. 17, n. 2, p. 237-246.</w:t>
      </w:r>
    </w:p>
    <w:p w14:paraId="6AA3501F" w14:textId="2119A321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 xml:space="preserve">PROTÁSIO, T. P. et. al. (2011) Pesquisa Florestal Brasileira. Relação entre o poder calorífico superior e os componentes elementares e minerais da biomassa vegetal. </w:t>
      </w:r>
      <w:r>
        <w:rPr>
          <w:rFonts w:ascii="Times New Roman" w:hAnsi="Times New Roman" w:cs="Times New Roman"/>
          <w:color w:val="000000"/>
          <w:sz w:val="20"/>
        </w:rPr>
        <w:t xml:space="preserve"> Colombo, v. 31, n. 66, p. 113.</w:t>
      </w:r>
    </w:p>
    <w:p w14:paraId="06EE5A58" w14:textId="18607D2E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QUINELATO, C. (2016) Dissertação de Mestrado. Métodos de extração da lignina do bagaço da cana-de-açúcar da região noroest</w:t>
      </w:r>
      <w:r>
        <w:rPr>
          <w:rFonts w:ascii="Times New Roman" w:hAnsi="Times New Roman" w:cs="Times New Roman"/>
          <w:color w:val="000000"/>
          <w:sz w:val="20"/>
        </w:rPr>
        <w:t>e do estado de São Paulo. 95 f.</w:t>
      </w:r>
    </w:p>
    <w:p w14:paraId="5A218FD8" w14:textId="01AC82D8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SACCO, A. P. (2008) Tese de Doutorado. Caracterização e estudo do comportamento térmico de ligninas extraídas de bagaço de cana-de-açúcar e dos resíduos sólidos urbanos. 121 f.</w:t>
      </w:r>
    </w:p>
    <w:p w14:paraId="6F40761F" w14:textId="7C7723FC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 xml:space="preserve">SANTOS, M. L. G. (2018) Dissertação de Mestrado. Processo </w:t>
      </w:r>
      <w:proofErr w:type="spellStart"/>
      <w:r w:rsidRPr="007B3CFE">
        <w:rPr>
          <w:rFonts w:ascii="Times New Roman" w:hAnsi="Times New Roman" w:cs="Times New Roman"/>
          <w:color w:val="000000"/>
          <w:sz w:val="20"/>
        </w:rPr>
        <w:t>pirolítico</w:t>
      </w:r>
      <w:proofErr w:type="spellEnd"/>
      <w:r w:rsidRPr="007B3CFE">
        <w:rPr>
          <w:rFonts w:ascii="Times New Roman" w:hAnsi="Times New Roman" w:cs="Times New Roman"/>
          <w:color w:val="000000"/>
          <w:sz w:val="20"/>
        </w:rPr>
        <w:t xml:space="preserve"> da biom</w:t>
      </w:r>
      <w:r>
        <w:rPr>
          <w:rFonts w:ascii="Times New Roman" w:hAnsi="Times New Roman" w:cs="Times New Roman"/>
          <w:color w:val="000000"/>
          <w:sz w:val="20"/>
        </w:rPr>
        <w:t>assa residual do abacaxi. 85 f.</w:t>
      </w:r>
    </w:p>
    <w:p w14:paraId="095BA26F" w14:textId="57D839B0" w:rsidR="007B3CF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SILVA, L. G. (2014) Tese de Doutorado. Obtenção de fibra de carbono a partir da lignina do b</w:t>
      </w:r>
      <w:r>
        <w:rPr>
          <w:rFonts w:ascii="Times New Roman" w:hAnsi="Times New Roman" w:cs="Times New Roman"/>
          <w:color w:val="000000"/>
          <w:sz w:val="20"/>
        </w:rPr>
        <w:t>agaço de cana-de-açúcar. 112 f.</w:t>
      </w:r>
    </w:p>
    <w:p w14:paraId="12067808" w14:textId="1D29F825" w:rsidR="002B530E" w:rsidRPr="007B3CFE" w:rsidRDefault="007B3CFE" w:rsidP="007B3CF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B3CFE">
        <w:rPr>
          <w:rFonts w:ascii="Times New Roman" w:hAnsi="Times New Roman" w:cs="Times New Roman"/>
          <w:color w:val="000000"/>
          <w:sz w:val="20"/>
        </w:rPr>
        <w:t>SOUTO F. et al. (2015) Revista Matéria. Fibras de carbono a partir de lignina: uma revisão da literatura.  v. 1, n. 20, p.100-114.</w:t>
      </w:r>
    </w:p>
    <w:sectPr w:rsidR="002B530E" w:rsidRPr="007B3CFE" w:rsidSect="00473ABD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D5F0EB" w15:done="0"/>
  <w15:commentEx w15:paraId="08E410BD" w15:done="0"/>
  <w15:commentEx w15:paraId="392611DC" w15:done="0"/>
  <w15:commentEx w15:paraId="7BCFB9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B452" w16cex:dateUtc="2020-05-01T17:44:00Z"/>
  <w16cex:commentExtensible w16cex:durableId="2256B484" w16cex:dateUtc="2020-05-01T17:45:00Z"/>
  <w16cex:commentExtensible w16cex:durableId="2256B688" w16cex:dateUtc="2020-05-01T17:54:00Z"/>
  <w16cex:commentExtensible w16cex:durableId="2256B75A" w16cex:dateUtc="2020-05-01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D5F0EB" w16cid:durableId="2256B452"/>
  <w16cid:commentId w16cid:paraId="08E410BD" w16cid:durableId="2256B484"/>
  <w16cid:commentId w16cid:paraId="392611DC" w16cid:durableId="2256B688"/>
  <w16cid:commentId w16cid:paraId="7BCFB949" w16cid:durableId="2256B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D65D" w14:textId="77777777" w:rsidR="00B05D0B" w:rsidRDefault="00B05D0B" w:rsidP="00E52819">
      <w:r>
        <w:separator/>
      </w:r>
    </w:p>
  </w:endnote>
  <w:endnote w:type="continuationSeparator" w:id="0">
    <w:p w14:paraId="52149DB9" w14:textId="77777777" w:rsidR="00B05D0B" w:rsidRDefault="00B05D0B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967B" w14:textId="7CC786CC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IV Congresso Internacional de Biomassa, Curitiba, PR – 2019.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0125" w14:textId="77777777" w:rsidR="00B05D0B" w:rsidRDefault="00B05D0B" w:rsidP="00E52819">
      <w:r>
        <w:separator/>
      </w:r>
    </w:p>
  </w:footnote>
  <w:footnote w:type="continuationSeparator" w:id="0">
    <w:p w14:paraId="29934AA7" w14:textId="77777777" w:rsidR="00B05D0B" w:rsidRDefault="00B05D0B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C0AE" w14:textId="4DE7FF34" w:rsidR="00DA21E7" w:rsidRDefault="00BF6B56">
    <w:pPr>
      <w:pStyle w:val="Cabealho"/>
    </w:pPr>
    <w:r>
      <w:t xml:space="preserve">                                                                                                           </w:t>
    </w:r>
  </w:p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103"/>
    </w:tblGrid>
    <w:tr w:rsidR="00D15CED" w14:paraId="08307284" w14:textId="77777777" w:rsidTr="00FA6194">
      <w:tc>
        <w:tcPr>
          <w:tcW w:w="3969" w:type="dxa"/>
        </w:tcPr>
        <w:p w14:paraId="6138E64A" w14:textId="35CD702B" w:rsidR="00D15CED" w:rsidRDefault="00D15CED" w:rsidP="00DA21E7">
          <w:pPr>
            <w:pStyle w:val="Cabealho"/>
            <w:jc w:val="both"/>
          </w:pPr>
          <w:r>
            <w:t xml:space="preserve">        </w:t>
          </w:r>
          <w:r w:rsidR="00FA6194">
            <w:rPr>
              <w:noProof/>
              <w:lang w:eastAsia="pt-BR"/>
            </w:rPr>
            <w:drawing>
              <wp:inline distT="0" distB="0" distL="0" distR="0" wp14:anchorId="58D89B8F" wp14:editId="041B1547">
                <wp:extent cx="1009650" cy="6196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bio 2020 sem fundo.jpe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061" cy="63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6194">
            <w:t xml:space="preserve">                                          </w:t>
          </w:r>
        </w:p>
      </w:tc>
      <w:tc>
        <w:tcPr>
          <w:tcW w:w="5103" w:type="dxa"/>
        </w:tcPr>
        <w:p w14:paraId="36A95B5E" w14:textId="68B6C722" w:rsidR="00D15CED" w:rsidRDefault="00FA6194" w:rsidP="00DA21E7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6121B1" wp14:editId="33AAAD77">
                    <wp:simplePos x="0" y="0"/>
                    <wp:positionH relativeFrom="margin">
                      <wp:posOffset>918210</wp:posOffset>
                    </wp:positionH>
                    <wp:positionV relativeFrom="paragraph">
                      <wp:posOffset>88900</wp:posOffset>
                    </wp:positionV>
                    <wp:extent cx="2200275" cy="419100"/>
                    <wp:effectExtent l="0" t="0" r="28575" b="1905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02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185C5A"/>
                            </a:solidFill>
                            <a:ln w="9525" cap="flat" cmpd="sng" algn="ctr">
                              <a:solidFill>
                                <a:srgbClr val="185C5A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B1565B" w14:textId="77777777" w:rsidR="00FA6194" w:rsidRPr="006F496E" w:rsidRDefault="00FA6194" w:rsidP="00FA619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V Cibio – 02 e 03 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setembr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o, 2020 – Goiânia, 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86121B1" id="Retângulo 4" o:spid="_x0000_s1026" style="position:absolute;left:0;text-align:left;margin-left:72.3pt;margin-top:7pt;width:173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" fillcolor="#185c5a" strokecolor="#185c5a">
                    <v:textbox>
                      <w:txbxContent>
                        <w:p w14:paraId="2DB1565B" w14:textId="77777777" w:rsidR="00FA6194" w:rsidRPr="006F496E" w:rsidRDefault="00FA6194" w:rsidP="00FA619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V Cibio – 02 e 03 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setembr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o, 2020 – Goiânia, GO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1A2CAA" w14:textId="60C7B6A5" w:rsidR="00D15CED" w:rsidRDefault="00D15CED" w:rsidP="00DA21E7">
          <w:pPr>
            <w:pStyle w:val="Cabealho"/>
            <w:jc w:val="right"/>
          </w:pPr>
        </w:p>
      </w:tc>
    </w:tr>
  </w:tbl>
  <w:p w14:paraId="7AD00F0C" w14:textId="500C6E60" w:rsidR="00E52819" w:rsidRDefault="00E52819" w:rsidP="00DA21E7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inaldo Ruggiero">
    <w15:presenceInfo w15:providerId="Windows Live" w15:userId="675ad5b48f75ea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B"/>
    <w:rsid w:val="00001515"/>
    <w:rsid w:val="000434F1"/>
    <w:rsid w:val="000920A9"/>
    <w:rsid w:val="0009668E"/>
    <w:rsid w:val="000B2974"/>
    <w:rsid w:val="000C6B0A"/>
    <w:rsid w:val="00107BF8"/>
    <w:rsid w:val="001817C5"/>
    <w:rsid w:val="001A066B"/>
    <w:rsid w:val="001E47A5"/>
    <w:rsid w:val="001E5D4E"/>
    <w:rsid w:val="002411A6"/>
    <w:rsid w:val="002B530E"/>
    <w:rsid w:val="00336EAF"/>
    <w:rsid w:val="00342888"/>
    <w:rsid w:val="00357A96"/>
    <w:rsid w:val="003628B8"/>
    <w:rsid w:val="00380DDC"/>
    <w:rsid w:val="003A5E84"/>
    <w:rsid w:val="003B0A32"/>
    <w:rsid w:val="003B147B"/>
    <w:rsid w:val="003C20D6"/>
    <w:rsid w:val="003F2EA5"/>
    <w:rsid w:val="00424175"/>
    <w:rsid w:val="00473ABD"/>
    <w:rsid w:val="004A6722"/>
    <w:rsid w:val="004B0A74"/>
    <w:rsid w:val="004F0AE0"/>
    <w:rsid w:val="00527D60"/>
    <w:rsid w:val="005A5FFB"/>
    <w:rsid w:val="005D607C"/>
    <w:rsid w:val="00670E6E"/>
    <w:rsid w:val="006A4896"/>
    <w:rsid w:val="006B529E"/>
    <w:rsid w:val="007776DC"/>
    <w:rsid w:val="007B3CFE"/>
    <w:rsid w:val="007C2507"/>
    <w:rsid w:val="008008CA"/>
    <w:rsid w:val="0081040E"/>
    <w:rsid w:val="00813F55"/>
    <w:rsid w:val="00814B90"/>
    <w:rsid w:val="008205C2"/>
    <w:rsid w:val="00832F41"/>
    <w:rsid w:val="00853C2A"/>
    <w:rsid w:val="00880E02"/>
    <w:rsid w:val="009007E4"/>
    <w:rsid w:val="00931E4D"/>
    <w:rsid w:val="009B5832"/>
    <w:rsid w:val="009C744A"/>
    <w:rsid w:val="009E4AD6"/>
    <w:rsid w:val="00A4324F"/>
    <w:rsid w:val="00AA6C37"/>
    <w:rsid w:val="00B05D0B"/>
    <w:rsid w:val="00B428B9"/>
    <w:rsid w:val="00B56957"/>
    <w:rsid w:val="00B7639C"/>
    <w:rsid w:val="00B768E3"/>
    <w:rsid w:val="00BA5538"/>
    <w:rsid w:val="00BD6E1B"/>
    <w:rsid w:val="00BE2708"/>
    <w:rsid w:val="00BF6B56"/>
    <w:rsid w:val="00C2669C"/>
    <w:rsid w:val="00C34638"/>
    <w:rsid w:val="00C4286B"/>
    <w:rsid w:val="00CB4C7F"/>
    <w:rsid w:val="00CC0374"/>
    <w:rsid w:val="00CD331E"/>
    <w:rsid w:val="00D15CED"/>
    <w:rsid w:val="00D36000"/>
    <w:rsid w:val="00D84246"/>
    <w:rsid w:val="00D85597"/>
    <w:rsid w:val="00DA21E7"/>
    <w:rsid w:val="00DC688D"/>
    <w:rsid w:val="00DE5635"/>
    <w:rsid w:val="00E27689"/>
    <w:rsid w:val="00E369EA"/>
    <w:rsid w:val="00E52819"/>
    <w:rsid w:val="00E65A1D"/>
    <w:rsid w:val="00EA0613"/>
    <w:rsid w:val="00EA5929"/>
    <w:rsid w:val="00EB2CDE"/>
    <w:rsid w:val="00EF6F59"/>
    <w:rsid w:val="00F3253A"/>
    <w:rsid w:val="00F75BFA"/>
    <w:rsid w:val="00FA6194"/>
    <w:rsid w:val="00FB5B0B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table" w:customStyle="1" w:styleId="TabelaSimples21">
    <w:name w:val="Tabela Simples 21"/>
    <w:basedOn w:val="Tabelanormal"/>
    <w:uiPriority w:val="42"/>
    <w:rsid w:val="00EA061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A066B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1A066B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E27689"/>
    <w:rPr>
      <w:rFonts w:eastAsiaTheme="minorHAnsi"/>
      <w:sz w:val="22"/>
      <w:szCs w:val="22"/>
    </w:rPr>
  </w:style>
  <w:style w:type="paragraph" w:styleId="Reviso">
    <w:name w:val="Revision"/>
    <w:hidden/>
    <w:uiPriority w:val="99"/>
    <w:semiHidden/>
    <w:rsid w:val="00FB5B0B"/>
  </w:style>
  <w:style w:type="character" w:styleId="Refdecomentrio">
    <w:name w:val="annotation reference"/>
    <w:basedOn w:val="Fontepargpadro"/>
    <w:uiPriority w:val="99"/>
    <w:semiHidden/>
    <w:unhideWhenUsed/>
    <w:rsid w:val="002411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1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1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1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1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table" w:customStyle="1" w:styleId="TabelaSimples21">
    <w:name w:val="Tabela Simples 21"/>
    <w:basedOn w:val="Tabelanormal"/>
    <w:uiPriority w:val="42"/>
    <w:rsid w:val="00EA061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A066B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1A066B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E27689"/>
    <w:rPr>
      <w:rFonts w:eastAsiaTheme="minorHAnsi"/>
      <w:sz w:val="22"/>
      <w:szCs w:val="22"/>
    </w:rPr>
  </w:style>
  <w:style w:type="paragraph" w:styleId="Reviso">
    <w:name w:val="Revision"/>
    <w:hidden/>
    <w:uiPriority w:val="99"/>
    <w:semiHidden/>
    <w:rsid w:val="00FB5B0B"/>
  </w:style>
  <w:style w:type="character" w:styleId="Refdecomentrio">
    <w:name w:val="annotation reference"/>
    <w:basedOn w:val="Fontepargpadro"/>
    <w:uiPriority w:val="99"/>
    <w:semiHidden/>
    <w:unhideWhenUsed/>
    <w:rsid w:val="002411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1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1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1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_csp@hotmail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779F-E509-40C5-AFF9-E019FCF4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2656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Gabii~</cp:lastModifiedBy>
  <cp:revision>3</cp:revision>
  <dcterms:created xsi:type="dcterms:W3CDTF">2020-05-05T12:59:00Z</dcterms:created>
  <dcterms:modified xsi:type="dcterms:W3CDTF">2020-05-05T13:06:00Z</dcterms:modified>
</cp:coreProperties>
</file>