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D3A4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2F5CE99C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757BE62A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2080685F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5EB5C392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2A3A6938" w14:textId="77777777" w:rsid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</w:p>
    <w:p w14:paraId="18103E8E" w14:textId="6BD8AB5B" w:rsidR="00760EFF" w:rsidRP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760EFF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>Título: PERCEPÇÃO DOS PROFISSIONAIS DE ENFERMAGEM ACERCA DA VIOLÊNCIA OBSTÉTRICA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: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>UMA REVISÃO DE LITERATURA</w:t>
      </w:r>
    </w:p>
    <w:p w14:paraId="2A044863" w14:textId="169CCC1D" w:rsidR="00760EFF" w:rsidRPr="00760EFF" w:rsidRDefault="00760EFF" w:rsidP="00760EFF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760EFF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 xml:space="preserve">Autores: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Antonia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Maria Ferreira de Souza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1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Thamy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Braga Rodrigues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2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Camilla Pontes Bezerra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3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Dyego Oliveira Venâncio</w:t>
      </w:r>
      <w:r w:rsidRPr="00760EFF">
        <w:rPr>
          <w:rFonts w:ascii="Times New Roman" w:eastAsiaTheme="minorHAnsi" w:hAnsi="Times New Roman" w:cs="Times New Roman"/>
          <w:sz w:val="20"/>
          <w:szCs w:val="20"/>
          <w:vertAlign w:val="superscript"/>
          <w:lang w:val="pt-BR" w:eastAsia="en-US" w:bidi="ar-SA"/>
        </w:rPr>
        <w:t>4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</w:t>
      </w:r>
    </w:p>
    <w:p w14:paraId="22327CA4" w14:textId="4233C903" w:rsidR="00760EFF" w:rsidRDefault="00760EFF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760EFF"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 xml:space="preserve">Instituições: 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1- Enfermeir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 Pós-graduad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em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Cardiohemodinâmica</w:t>
      </w:r>
      <w:proofErr w:type="spellEnd"/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pelo IDE/Faculdade Redentor.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Fortaleza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Ceará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Brasil. Apresentador. 2- Enfermeira.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Mestre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em Enfermagem pel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a UFC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Fortaleza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Ceará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Brasil. 3- Enfermeira.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Doutora em Saúde Coletiva pela UFC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Fortaleza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, 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Ceará</w:t>
      </w:r>
      <w:r w:rsidRPr="00760EFF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 Brasil.</w:t>
      </w:r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4- Enfermeiro. Professor Especialista I do Curso de Graduação em Enfermagem da Faculdade </w:t>
      </w:r>
      <w:proofErr w:type="spellStart"/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Uninassau</w:t>
      </w:r>
      <w:proofErr w:type="spellEnd"/>
      <w:r w:rsid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Sobral. Sobral, Ceará. Orientador.</w:t>
      </w:r>
    </w:p>
    <w:p w14:paraId="3612A221" w14:textId="03E2896F" w:rsidR="00201C9B" w:rsidRDefault="00201C9B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</w:p>
    <w:p w14:paraId="24BF18B4" w14:textId="5CABB960" w:rsidR="00201C9B" w:rsidRDefault="00201C9B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</w:pPr>
      <w:bookmarkStart w:id="0" w:name="_GoBack"/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>RESUMO</w:t>
      </w:r>
    </w:p>
    <w:p w14:paraId="42F37503" w14:textId="10DCC577" w:rsidR="00201C9B" w:rsidRDefault="00201C9B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</w:p>
    <w:p w14:paraId="009023C0" w14:textId="220C2D71" w:rsidR="00201C9B" w:rsidRDefault="00201C9B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 w:rsidRP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De acordo com a Organização Mundial de Saúde (OMS, 2002), a violência é definida como o uso premeditado de força física ou do poder, real ou ameaça, contra si próprio, contra outra pessoa, ou contra um grupo</w:t>
      </w:r>
      <w:r w:rsidR="00EB5E55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</w:t>
      </w:r>
      <w:r w:rsidRP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ou contra a comunidade que resulte</w:t>
      </w:r>
      <w:r w:rsidR="00EB5E55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</w:t>
      </w:r>
      <w:r w:rsidRP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ou tenha possibilidade de resultar em lesão, morte, dano psicológico, deficiência de desenvolvimento ou provação.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</w:t>
      </w:r>
      <w:r w:rsidR="00EB5E55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Especificamente a violência obstétrica (VO) é entendida a apropriação por um profissional de saúde do corpo e dos processos reprodutivos de uma mulher.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Este estudo tem como objetivo r</w:t>
      </w:r>
      <w:r w:rsidRPr="00201C9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ealizar uma busca na literatura sobre a percepção dos profissionais de enfermagem acerca da violência obstétrica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</w:t>
      </w:r>
      <w:r w:rsidR="00A614B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Trata-se de uma revisão de literatura, descritiva. A partir das bases de dados LILACS, BDENF e SCIELO, foram encontrados o total</w:t>
      </w:r>
      <w:r w:rsidR="00EB5E55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de</w:t>
      </w:r>
      <w:r w:rsidR="00A614B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52 artigos, dos quais os critérios de inclusão, dos quais, seguindo os critérios de inclusão pré-estabelecidos, restaram 4. Após a an</w:t>
      </w:r>
      <w:r w:rsidR="00EB5E55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á</w:t>
      </w:r>
      <w:r w:rsidR="00A614B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lise dos dados pode-se observar qu</w:t>
      </w:r>
      <w:r w:rsidR="004140B8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e </w:t>
      </w:r>
      <w:r w:rsidR="001204B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os profissionais na maioria das vezes não se julgam como causadores de violência obstétrica, </w:t>
      </w:r>
      <w:r w:rsidR="001D74C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entretanto afirmam</w:t>
      </w:r>
      <w:r w:rsidR="001204B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 que já presenciaram tal feito por parte de outros colegas, </w:t>
      </w:r>
      <w:r w:rsidR="001D1316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como residentes realizando episiotomias sem indicações para treinos. O</w:t>
      </w:r>
      <w:r w:rsidR="001204B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s que assumem </w:t>
      </w:r>
      <w:r w:rsidR="001D1316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cometer VO</w:t>
      </w:r>
      <w:r w:rsidR="001204BB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, colocam a culpa nas parturientes e/ou no sistema de saúde</w:t>
      </w:r>
      <w:r w:rsidR="001D74C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. </w:t>
      </w:r>
      <w:r w:rsidR="001D1316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Diante do exposto conclui-se que para o combate a violência obstétrica, precisa-se de mais </w:t>
      </w:r>
      <w:r w:rsidR="00ED473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educação em saúde sobre a temática, </w:t>
      </w:r>
      <w:r w:rsidR="001D1316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 xml:space="preserve">fiscalização e ordenação dos serviços de saúde, pois algumas atitudes que os profissionais realizam, são consideradas violência, </w:t>
      </w:r>
      <w:r w:rsidR="00ED4739"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porem ou ele não sabe, ou não vê outra forma.</w:t>
      </w:r>
    </w:p>
    <w:p w14:paraId="48380CAF" w14:textId="294B7E1A" w:rsidR="00ED4739" w:rsidRDefault="00ED4739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</w:p>
    <w:p w14:paraId="50316DD5" w14:textId="3306A1D9" w:rsidR="00ED4739" w:rsidRPr="00ED4739" w:rsidRDefault="00ED4739" w:rsidP="00201C9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val="pt-BR" w:eastAsia="en-US" w:bidi="ar-SA"/>
        </w:rPr>
        <w:t xml:space="preserve">Descritores: </w:t>
      </w:r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Saúde da Mulher, Violência contra a mulher, Enfermagem Obstétrica</w:t>
      </w:r>
      <w:bookmarkEnd w:id="0"/>
      <w:r>
        <w:rPr>
          <w:rFonts w:ascii="Times New Roman" w:eastAsiaTheme="minorHAnsi" w:hAnsi="Times New Roman" w:cs="Times New Roman"/>
          <w:sz w:val="20"/>
          <w:szCs w:val="20"/>
          <w:lang w:val="pt-BR" w:eastAsia="en-US" w:bidi="ar-SA"/>
        </w:rPr>
        <w:t>.</w:t>
      </w:r>
    </w:p>
    <w:sectPr w:rsidR="00ED4739" w:rsidRPr="00ED4739" w:rsidSect="00760EFF">
      <w:headerReference w:type="default" r:id="rId7"/>
      <w:footerReference w:type="default" r:id="rId8"/>
      <w:pgSz w:w="11910" w:h="16840"/>
      <w:pgMar w:top="1418" w:right="1418" w:bottom="1418" w:left="1418" w:header="839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7CCB" w14:textId="77777777" w:rsidR="00557C16" w:rsidRDefault="00557C16">
      <w:r>
        <w:separator/>
      </w:r>
    </w:p>
  </w:endnote>
  <w:endnote w:type="continuationSeparator" w:id="0">
    <w:p w14:paraId="6E899D3A" w14:textId="77777777" w:rsidR="00557C16" w:rsidRDefault="005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42A8" w14:textId="7FC7F81B" w:rsidR="00E3178B" w:rsidRDefault="00E3178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805E" w14:textId="77777777" w:rsidR="00557C16" w:rsidRDefault="00557C16">
      <w:r>
        <w:separator/>
      </w:r>
    </w:p>
  </w:footnote>
  <w:footnote w:type="continuationSeparator" w:id="0">
    <w:p w14:paraId="6283F180" w14:textId="77777777" w:rsidR="00557C16" w:rsidRDefault="0055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2445" w14:textId="77777777" w:rsidR="00E3178B" w:rsidRDefault="00557C1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2B38A1" wp14:editId="7C2834A7">
          <wp:simplePos x="0" y="0"/>
          <wp:positionH relativeFrom="page">
            <wp:posOffset>2560954</wp:posOffset>
          </wp:positionH>
          <wp:positionV relativeFrom="page">
            <wp:posOffset>531283</wp:posOffset>
          </wp:positionV>
          <wp:extent cx="2433200" cy="10000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200" cy="100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78E567">
        <v:line id="_x0000_s2051" style="position:absolute;z-index:-251864064;mso-position-horizontal-relative:page;mso-position-vertical-relative:page" from="63.8pt,129.45pt" to="534.05pt,127.2pt" strokecolor="#009fdf" strokeweight="1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9EE"/>
    <w:multiLevelType w:val="multilevel"/>
    <w:tmpl w:val="F65E10CE"/>
    <w:lvl w:ilvl="0">
      <w:start w:val="2"/>
      <w:numFmt w:val="decimal"/>
      <w:lvlText w:val="%1"/>
      <w:lvlJc w:val="left"/>
      <w:pPr>
        <w:ind w:left="47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02A5A7C"/>
    <w:multiLevelType w:val="hybridMultilevel"/>
    <w:tmpl w:val="24D8C508"/>
    <w:lvl w:ilvl="0" w:tplc="54E08FF6">
      <w:numFmt w:val="bullet"/>
      <w:lvlText w:val="-"/>
      <w:lvlJc w:val="left"/>
      <w:pPr>
        <w:ind w:left="116" w:hanging="148"/>
      </w:pPr>
      <w:rPr>
        <w:rFonts w:ascii="Calibri" w:eastAsia="Calibri" w:hAnsi="Calibri" w:cs="Calibri" w:hint="default"/>
        <w:spacing w:val="-22"/>
        <w:w w:val="100"/>
        <w:sz w:val="22"/>
        <w:szCs w:val="22"/>
        <w:lang w:val="pt-PT" w:eastAsia="pt-PT" w:bidi="pt-PT"/>
      </w:rPr>
    </w:lvl>
    <w:lvl w:ilvl="1" w:tplc="67F2429E">
      <w:numFmt w:val="bullet"/>
      <w:lvlText w:val="•"/>
      <w:lvlJc w:val="left"/>
      <w:pPr>
        <w:ind w:left="1066" w:hanging="148"/>
      </w:pPr>
      <w:rPr>
        <w:rFonts w:hint="default"/>
        <w:lang w:val="pt-PT" w:eastAsia="pt-PT" w:bidi="pt-PT"/>
      </w:rPr>
    </w:lvl>
    <w:lvl w:ilvl="2" w:tplc="F1B8D338">
      <w:numFmt w:val="bullet"/>
      <w:lvlText w:val="•"/>
      <w:lvlJc w:val="left"/>
      <w:pPr>
        <w:ind w:left="2013" w:hanging="148"/>
      </w:pPr>
      <w:rPr>
        <w:rFonts w:hint="default"/>
        <w:lang w:val="pt-PT" w:eastAsia="pt-PT" w:bidi="pt-PT"/>
      </w:rPr>
    </w:lvl>
    <w:lvl w:ilvl="3" w:tplc="C17889FE">
      <w:numFmt w:val="bullet"/>
      <w:lvlText w:val="•"/>
      <w:lvlJc w:val="left"/>
      <w:pPr>
        <w:ind w:left="2960" w:hanging="148"/>
      </w:pPr>
      <w:rPr>
        <w:rFonts w:hint="default"/>
        <w:lang w:val="pt-PT" w:eastAsia="pt-PT" w:bidi="pt-PT"/>
      </w:rPr>
    </w:lvl>
    <w:lvl w:ilvl="4" w:tplc="4FEED7EC">
      <w:numFmt w:val="bullet"/>
      <w:lvlText w:val="•"/>
      <w:lvlJc w:val="left"/>
      <w:pPr>
        <w:ind w:left="3907" w:hanging="148"/>
      </w:pPr>
      <w:rPr>
        <w:rFonts w:hint="default"/>
        <w:lang w:val="pt-PT" w:eastAsia="pt-PT" w:bidi="pt-PT"/>
      </w:rPr>
    </w:lvl>
    <w:lvl w:ilvl="5" w:tplc="327C4706">
      <w:numFmt w:val="bullet"/>
      <w:lvlText w:val="•"/>
      <w:lvlJc w:val="left"/>
      <w:pPr>
        <w:ind w:left="4854" w:hanging="148"/>
      </w:pPr>
      <w:rPr>
        <w:rFonts w:hint="default"/>
        <w:lang w:val="pt-PT" w:eastAsia="pt-PT" w:bidi="pt-PT"/>
      </w:rPr>
    </w:lvl>
    <w:lvl w:ilvl="6" w:tplc="35DA6872">
      <w:numFmt w:val="bullet"/>
      <w:lvlText w:val="•"/>
      <w:lvlJc w:val="left"/>
      <w:pPr>
        <w:ind w:left="5800" w:hanging="148"/>
      </w:pPr>
      <w:rPr>
        <w:rFonts w:hint="default"/>
        <w:lang w:val="pt-PT" w:eastAsia="pt-PT" w:bidi="pt-PT"/>
      </w:rPr>
    </w:lvl>
    <w:lvl w:ilvl="7" w:tplc="52CCCA00">
      <w:numFmt w:val="bullet"/>
      <w:lvlText w:val="•"/>
      <w:lvlJc w:val="left"/>
      <w:pPr>
        <w:ind w:left="6747" w:hanging="148"/>
      </w:pPr>
      <w:rPr>
        <w:rFonts w:hint="default"/>
        <w:lang w:val="pt-PT" w:eastAsia="pt-PT" w:bidi="pt-PT"/>
      </w:rPr>
    </w:lvl>
    <w:lvl w:ilvl="8" w:tplc="184689FC">
      <w:numFmt w:val="bullet"/>
      <w:lvlText w:val="•"/>
      <w:lvlJc w:val="left"/>
      <w:pPr>
        <w:ind w:left="7694" w:hanging="148"/>
      </w:pPr>
      <w:rPr>
        <w:rFonts w:hint="default"/>
        <w:lang w:val="pt-PT" w:eastAsia="pt-PT" w:bidi="pt-PT"/>
      </w:rPr>
    </w:lvl>
  </w:abstractNum>
  <w:abstractNum w:abstractNumId="2" w15:restartNumberingAfterBreak="0">
    <w:nsid w:val="171C47C7"/>
    <w:multiLevelType w:val="multilevel"/>
    <w:tmpl w:val="EA78B7DC"/>
    <w:lvl w:ilvl="0">
      <w:start w:val="3"/>
      <w:numFmt w:val="decimal"/>
      <w:lvlText w:val="%1"/>
      <w:lvlJc w:val="left"/>
      <w:pPr>
        <w:ind w:left="47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7A40531"/>
    <w:multiLevelType w:val="multilevel"/>
    <w:tmpl w:val="001A2482"/>
    <w:lvl w:ilvl="0">
      <w:start w:val="6"/>
      <w:numFmt w:val="decimal"/>
      <w:lvlText w:val="%1"/>
      <w:lvlJc w:val="left"/>
      <w:pPr>
        <w:ind w:left="11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6" w:hanging="360"/>
        <w:jc w:val="left"/>
      </w:pPr>
      <w:rPr>
        <w:rFonts w:ascii="Calibri" w:eastAsia="Calibri" w:hAnsi="Calibri" w:cs="Calibri" w:hint="default"/>
        <w:spacing w:val="-23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13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7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4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BEF71B2"/>
    <w:multiLevelType w:val="multilevel"/>
    <w:tmpl w:val="E92E435A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color w:val="EC3123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8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5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4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424D423C"/>
    <w:multiLevelType w:val="multilevel"/>
    <w:tmpl w:val="4C20E15A"/>
    <w:lvl w:ilvl="0">
      <w:start w:val="5"/>
      <w:numFmt w:val="decimal"/>
      <w:lvlText w:val="%1"/>
      <w:lvlJc w:val="left"/>
      <w:pPr>
        <w:ind w:left="544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44" w:hanging="360"/>
        <w:jc w:val="left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8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C8D7E17"/>
    <w:multiLevelType w:val="multilevel"/>
    <w:tmpl w:val="C75A3B62"/>
    <w:lvl w:ilvl="0">
      <w:start w:val="4"/>
      <w:numFmt w:val="decimal"/>
      <w:lvlText w:val="%1"/>
      <w:lvlJc w:val="left"/>
      <w:pPr>
        <w:ind w:left="476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5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78B"/>
    <w:rsid w:val="001204BB"/>
    <w:rsid w:val="001D1316"/>
    <w:rsid w:val="001D74C9"/>
    <w:rsid w:val="00201C9B"/>
    <w:rsid w:val="004140B8"/>
    <w:rsid w:val="00557C16"/>
    <w:rsid w:val="0076006A"/>
    <w:rsid w:val="00760EFF"/>
    <w:rsid w:val="008D06BA"/>
    <w:rsid w:val="00A614B9"/>
    <w:rsid w:val="00E3178B"/>
    <w:rsid w:val="00EB5E55"/>
    <w:rsid w:val="00E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0F2C97"/>
  <w15:docId w15:val="{338027C7-E5A1-48AD-B3D4-B4804C1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76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11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0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F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60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EFF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Soares Carneiro da Silva</dc:creator>
  <cp:lastModifiedBy>Dyego Venâncio</cp:lastModifiedBy>
  <cp:revision>4</cp:revision>
  <dcterms:created xsi:type="dcterms:W3CDTF">2019-10-30T19:49:00Z</dcterms:created>
  <dcterms:modified xsi:type="dcterms:W3CDTF">2019-10-31T02:07:00Z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2019-10-30T00:00:00Z</vt:filetime>
  </property>
</Properties>
</file>