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6B79" w:rsidRDefault="00F2716C" w:rsidP="00686B79">
      <w:pPr>
        <w:pStyle w:val="Ttulo"/>
      </w:pPr>
      <w:bookmarkStart w:id="0" w:name="_Toc3626291"/>
      <w:r>
        <w:t>Oxidação de titânio por plasma</w:t>
      </w:r>
    </w:p>
    <w:p w:rsidR="00686B79" w:rsidRPr="00696317" w:rsidRDefault="00686B79" w:rsidP="00686B79"/>
    <w:p w:rsidR="00686B79" w:rsidRPr="007C401F" w:rsidRDefault="00686B79" w:rsidP="00686B79">
      <w:pPr>
        <w:pStyle w:val="FPCNomedoAutor"/>
        <w:spacing w:before="0" w:after="0"/>
        <w:jc w:val="left"/>
        <w:rPr>
          <w:rFonts w:ascii="Times New Roman" w:hAnsi="Times New Roman"/>
          <w:spacing w:val="-2"/>
          <w:sz w:val="22"/>
          <w:lang w:val="pt-PT"/>
        </w:rPr>
      </w:pPr>
    </w:p>
    <w:p w:rsidR="00686B79" w:rsidRPr="00F2716C" w:rsidRDefault="00B40E18" w:rsidP="00686B79">
      <w:pPr>
        <w:rPr>
          <w:rStyle w:val="Forte"/>
        </w:rPr>
      </w:pPr>
      <w:r>
        <w:rPr>
          <w:rStyle w:val="Forte"/>
        </w:rPr>
        <w:t>RESUMO</w:t>
      </w:r>
    </w:p>
    <w:p w:rsidR="009E1481" w:rsidRPr="007669DE" w:rsidRDefault="009E1481" w:rsidP="009E1481">
      <w:pPr>
        <w:rPr>
          <w:rStyle w:val="Forte"/>
          <w:b w:val="0"/>
        </w:rPr>
      </w:pPr>
      <w:bookmarkStart w:id="1" w:name="_GoBack"/>
      <w:r>
        <w:rPr>
          <w:rStyle w:val="Forte"/>
          <w:b w:val="0"/>
        </w:rPr>
        <w:t xml:space="preserve">O uso de titânio em próteses ortopédicas e dentárias já é amplamente aceito e utilizado devido a propriedades intrínsecas do próprio titânio. Porém sempre há uma necessidade de tratamento da superfície da prótese para uma melhor biocompatibilidade com o organismo em que será </w:t>
      </w:r>
      <w:proofErr w:type="gramStart"/>
      <w:r>
        <w:rPr>
          <w:rStyle w:val="Forte"/>
          <w:b w:val="0"/>
        </w:rPr>
        <w:t>implantado</w:t>
      </w:r>
      <w:proofErr w:type="gramEnd"/>
      <w:r>
        <w:rPr>
          <w:rStyle w:val="Forte"/>
          <w:b w:val="0"/>
        </w:rPr>
        <w:t xml:space="preserve"> a peça. </w:t>
      </w:r>
      <w:r w:rsidR="00F2716C">
        <w:rPr>
          <w:rStyle w:val="Forte"/>
          <w:b w:val="0"/>
        </w:rPr>
        <w:t xml:space="preserve">Esse trabalho propõe um novo método utilizando plasma eletrolítico para esse tratamento de superfície utilizando o titânio comercialmente puro e solução de glicerol </w:t>
      </w:r>
      <w:r w:rsidR="00FB427A">
        <w:rPr>
          <w:rStyle w:val="Forte"/>
          <w:b w:val="0"/>
        </w:rPr>
        <w:t>e utilizando o método de Oxidação Eletrolítica a Plasma</w:t>
      </w:r>
      <w:r w:rsidR="00F2716C">
        <w:rPr>
          <w:rStyle w:val="Forte"/>
          <w:b w:val="0"/>
        </w:rPr>
        <w:t xml:space="preserve"> (PEO). As vantagens de uso de materiais não tóxicos e sem geração de resíduos e </w:t>
      </w:r>
      <w:r w:rsidR="001F7167">
        <w:rPr>
          <w:rStyle w:val="Forte"/>
          <w:b w:val="0"/>
        </w:rPr>
        <w:t xml:space="preserve">uma maior economia devido </w:t>
      </w:r>
      <w:r w:rsidR="00F2716C">
        <w:rPr>
          <w:rStyle w:val="Forte"/>
          <w:b w:val="0"/>
        </w:rPr>
        <w:t xml:space="preserve">o curto período necessário no processo </w:t>
      </w:r>
      <w:r w:rsidR="001F7167">
        <w:rPr>
          <w:rStyle w:val="Forte"/>
          <w:b w:val="0"/>
        </w:rPr>
        <w:t>a plasma.</w:t>
      </w:r>
    </w:p>
    <w:bookmarkEnd w:id="1"/>
    <w:p w:rsidR="00686B79" w:rsidRPr="00277A49" w:rsidRDefault="00686B79" w:rsidP="00686B79">
      <w:pPr>
        <w:pStyle w:val="FPCTextonormal"/>
        <w:spacing w:before="0" w:after="0"/>
        <w:rPr>
          <w:rFonts w:ascii="Times New Roman" w:hAnsi="Times New Roman"/>
          <w:sz w:val="20"/>
          <w:szCs w:val="20"/>
        </w:rPr>
      </w:pPr>
    </w:p>
    <w:p w:rsidR="00686B79" w:rsidRPr="00277A49" w:rsidRDefault="00686B79" w:rsidP="00686B79">
      <w:pPr>
        <w:rPr>
          <w:lang w:val="pt-PT" w:eastAsia="ja-JP"/>
        </w:rPr>
      </w:pPr>
      <w:r w:rsidRPr="00277A49">
        <w:rPr>
          <w:b/>
          <w:lang w:val="pt-PT" w:eastAsia="ja-JP"/>
        </w:rPr>
        <w:t xml:space="preserve">Palavras-chave: </w:t>
      </w:r>
      <w:r w:rsidR="00F2716C">
        <w:rPr>
          <w:lang w:val="pt-PT" w:eastAsia="ja-JP"/>
        </w:rPr>
        <w:t xml:space="preserve">Titânio; Oxidação; Plasma; Eletrolítico; </w:t>
      </w:r>
      <w:proofErr w:type="gramStart"/>
      <w:r w:rsidR="00F2716C">
        <w:rPr>
          <w:lang w:val="pt-PT" w:eastAsia="ja-JP"/>
        </w:rPr>
        <w:t>Biocompatibilidade</w:t>
      </w:r>
      <w:proofErr w:type="gramEnd"/>
      <w:r w:rsidR="00F2716C" w:rsidRPr="00277A49">
        <w:rPr>
          <w:lang w:val="pt-PT" w:eastAsia="ja-JP"/>
        </w:rPr>
        <w:t xml:space="preserve"> </w:t>
      </w:r>
    </w:p>
    <w:p w:rsidR="00686B79" w:rsidRPr="00277A49" w:rsidRDefault="00686B79" w:rsidP="00686B79">
      <w:pPr>
        <w:pStyle w:val="FPCTextonormal"/>
        <w:spacing w:before="0" w:after="0"/>
        <w:rPr>
          <w:rFonts w:ascii="Times New Roman" w:hAnsi="Times New Roman"/>
          <w:sz w:val="20"/>
          <w:szCs w:val="20"/>
          <w:lang w:val="pt-PT" w:eastAsia="ja-JP"/>
        </w:rPr>
      </w:pPr>
    </w:p>
    <w:p w:rsidR="00686B79" w:rsidRPr="00277A49" w:rsidRDefault="00686B79" w:rsidP="00686B79">
      <w:pPr>
        <w:pStyle w:val="FPCTextonormal"/>
        <w:spacing w:before="0" w:after="0"/>
        <w:rPr>
          <w:rFonts w:ascii="Times New Roman" w:hAnsi="Times New Roman"/>
          <w:sz w:val="20"/>
          <w:szCs w:val="20"/>
          <w:lang w:val="pt-PT" w:eastAsia="ja-JP"/>
        </w:rPr>
      </w:pPr>
    </w:p>
    <w:p w:rsidR="00686B79" w:rsidRPr="00D91C10" w:rsidRDefault="00686B79" w:rsidP="00686B79">
      <w:pPr>
        <w:rPr>
          <w:b/>
          <w:lang w:val="en-US"/>
        </w:rPr>
      </w:pPr>
      <w:bookmarkStart w:id="2" w:name="_Toc519335634"/>
      <w:bookmarkEnd w:id="0"/>
      <w:r w:rsidRPr="00D91C10">
        <w:rPr>
          <w:b/>
          <w:lang w:val="en-US"/>
        </w:rPr>
        <w:t xml:space="preserve">ABSTRACT </w:t>
      </w:r>
    </w:p>
    <w:p w:rsidR="00686B79" w:rsidRPr="00D91C10" w:rsidRDefault="00F2716C" w:rsidP="00686B79">
      <w:pPr>
        <w:rPr>
          <w:rStyle w:val="Forte"/>
          <w:bCs w:val="0"/>
          <w:lang w:val="en-US"/>
        </w:rPr>
      </w:pPr>
      <w:r w:rsidRPr="00D91C10">
        <w:rPr>
          <w:rStyle w:val="Forte"/>
          <w:b w:val="0"/>
          <w:lang w:val="en-US"/>
        </w:rPr>
        <w:t xml:space="preserve">The use of titanium in orthopedic and dentistry prosthesis </w:t>
      </w:r>
      <w:r w:rsidR="00110008" w:rsidRPr="00D91C10">
        <w:rPr>
          <w:rStyle w:val="Forte"/>
          <w:b w:val="0"/>
          <w:lang w:val="en-US"/>
        </w:rPr>
        <w:t xml:space="preserve">is accept and use due its intrinsic properties. Yet it is always required to treat the surface of the </w:t>
      </w:r>
      <w:proofErr w:type="spellStart"/>
      <w:r w:rsidR="00110008" w:rsidRPr="00D91C10">
        <w:rPr>
          <w:rStyle w:val="Forte"/>
          <w:b w:val="0"/>
          <w:lang w:val="en-US"/>
        </w:rPr>
        <w:t>phosthesis</w:t>
      </w:r>
      <w:proofErr w:type="spellEnd"/>
      <w:r w:rsidR="00110008" w:rsidRPr="00D91C10">
        <w:rPr>
          <w:rStyle w:val="Forte"/>
          <w:b w:val="0"/>
          <w:lang w:val="en-US"/>
        </w:rPr>
        <w:t xml:space="preserve"> aiming </w:t>
      </w:r>
      <w:proofErr w:type="spellStart"/>
      <w:proofErr w:type="gramStart"/>
      <w:r w:rsidR="00110008" w:rsidRPr="00D91C10">
        <w:rPr>
          <w:rStyle w:val="Forte"/>
          <w:b w:val="0"/>
          <w:lang w:val="en-US"/>
        </w:rPr>
        <w:t>a</w:t>
      </w:r>
      <w:proofErr w:type="spellEnd"/>
      <w:proofErr w:type="gramEnd"/>
      <w:r w:rsidR="00110008" w:rsidRPr="00D91C10">
        <w:rPr>
          <w:rStyle w:val="Forte"/>
          <w:b w:val="0"/>
          <w:lang w:val="en-US"/>
        </w:rPr>
        <w:t xml:space="preserve"> even better </w:t>
      </w:r>
      <w:proofErr w:type="spellStart"/>
      <w:r w:rsidR="00110008" w:rsidRPr="00D91C10">
        <w:rPr>
          <w:rStyle w:val="Forte"/>
          <w:b w:val="0"/>
          <w:lang w:val="en-US"/>
        </w:rPr>
        <w:t>biocopatibility</w:t>
      </w:r>
      <w:proofErr w:type="spellEnd"/>
      <w:r w:rsidR="00110008" w:rsidRPr="00D91C10">
        <w:rPr>
          <w:rStyle w:val="Forte"/>
          <w:b w:val="0"/>
          <w:lang w:val="en-US"/>
        </w:rPr>
        <w:t xml:space="preserve"> with the patient’s body. In this </w:t>
      </w:r>
      <w:proofErr w:type="spellStart"/>
      <w:r w:rsidR="00110008" w:rsidRPr="00D91C10">
        <w:rPr>
          <w:rStyle w:val="Forte"/>
          <w:b w:val="0"/>
          <w:lang w:val="en-US"/>
        </w:rPr>
        <w:t>papear</w:t>
      </w:r>
      <w:proofErr w:type="spellEnd"/>
      <w:r w:rsidR="00110008" w:rsidRPr="00D91C10">
        <w:rPr>
          <w:rStyle w:val="Forte"/>
          <w:b w:val="0"/>
          <w:lang w:val="en-US"/>
        </w:rPr>
        <w:t xml:space="preserve"> we present </w:t>
      </w:r>
      <w:r w:rsidR="00FB427A" w:rsidRPr="00D91C10">
        <w:rPr>
          <w:rStyle w:val="Forte"/>
          <w:b w:val="0"/>
          <w:lang w:val="en-US"/>
        </w:rPr>
        <w:t xml:space="preserve">a method using a glycerol </w:t>
      </w:r>
      <w:proofErr w:type="spellStart"/>
      <w:r w:rsidR="00FB427A" w:rsidRPr="00D91C10">
        <w:rPr>
          <w:rStyle w:val="Forte"/>
          <w:b w:val="0"/>
          <w:lang w:val="en-US"/>
        </w:rPr>
        <w:t>soluction</w:t>
      </w:r>
      <w:proofErr w:type="spellEnd"/>
      <w:r w:rsidR="00FB427A" w:rsidRPr="00D91C10">
        <w:rPr>
          <w:rStyle w:val="Forte"/>
          <w:b w:val="0"/>
          <w:lang w:val="en-US"/>
        </w:rPr>
        <w:t xml:space="preserve"> and Plasma Electrolytic Oxidation (PEO). The </w:t>
      </w:r>
      <w:proofErr w:type="gramStart"/>
      <w:r w:rsidR="00FB427A" w:rsidRPr="00D91C10">
        <w:rPr>
          <w:rStyle w:val="Forte"/>
          <w:b w:val="0"/>
          <w:lang w:val="en-US"/>
        </w:rPr>
        <w:t>advantages of this method is</w:t>
      </w:r>
      <w:proofErr w:type="gramEnd"/>
      <w:r w:rsidR="00FB427A" w:rsidRPr="00D91C10">
        <w:rPr>
          <w:rStyle w:val="Forte"/>
          <w:b w:val="0"/>
          <w:lang w:val="en-US"/>
        </w:rPr>
        <w:t xml:space="preserve"> the absence of toxic materials and </w:t>
      </w:r>
      <w:r w:rsidR="001F7167" w:rsidRPr="00D91C10">
        <w:rPr>
          <w:rStyle w:val="Forte"/>
          <w:b w:val="0"/>
          <w:lang w:val="en-US"/>
        </w:rPr>
        <w:t>without generating any toxic waste and economy thanks to the short period by the process.</w:t>
      </w:r>
    </w:p>
    <w:p w:rsidR="00686B79" w:rsidRPr="00D91C10" w:rsidRDefault="00686B79" w:rsidP="00686B79">
      <w:pPr>
        <w:rPr>
          <w:lang w:val="en-US"/>
        </w:rPr>
      </w:pPr>
    </w:p>
    <w:p w:rsidR="00686B79" w:rsidRPr="00D91C10" w:rsidRDefault="00686B79" w:rsidP="00F2716C">
      <w:pPr>
        <w:rPr>
          <w:lang w:val="en-US" w:eastAsia="ja-JP"/>
        </w:rPr>
      </w:pPr>
      <w:r w:rsidRPr="00D91C10">
        <w:rPr>
          <w:b/>
          <w:lang w:val="en-US"/>
        </w:rPr>
        <w:t>Keywords</w:t>
      </w:r>
      <w:r w:rsidRPr="00D91C10">
        <w:rPr>
          <w:lang w:val="en-US"/>
        </w:rPr>
        <w:t xml:space="preserve">: </w:t>
      </w:r>
      <w:r w:rsidR="001F7167" w:rsidRPr="00D91C10">
        <w:rPr>
          <w:lang w:val="en-US" w:eastAsia="ja-JP"/>
        </w:rPr>
        <w:t xml:space="preserve">Titanium; Oxidation; Plasma; </w:t>
      </w:r>
      <w:proofErr w:type="spellStart"/>
      <w:r w:rsidR="001F7167" w:rsidRPr="00D91C10">
        <w:rPr>
          <w:lang w:val="en-US" w:eastAsia="ja-JP"/>
        </w:rPr>
        <w:t>Eletrolytic</w:t>
      </w:r>
      <w:proofErr w:type="spellEnd"/>
      <w:r w:rsidR="001F7167" w:rsidRPr="00D91C10">
        <w:rPr>
          <w:lang w:val="en-US" w:eastAsia="ja-JP"/>
        </w:rPr>
        <w:t>; Biocompatibility</w:t>
      </w:r>
    </w:p>
    <w:p w:rsidR="00686B79" w:rsidRPr="00D91C10" w:rsidRDefault="00686B79" w:rsidP="00686B79">
      <w:pPr>
        <w:rPr>
          <w:b/>
          <w:sz w:val="24"/>
          <w:szCs w:val="24"/>
          <w:lang w:val="en-US"/>
        </w:rPr>
      </w:pPr>
    </w:p>
    <w:p w:rsidR="00686B79" w:rsidRPr="00D91C10" w:rsidRDefault="00686B79" w:rsidP="00686B79">
      <w:pPr>
        <w:rPr>
          <w:b/>
          <w:sz w:val="24"/>
          <w:szCs w:val="24"/>
          <w:lang w:val="en-US"/>
        </w:rPr>
      </w:pPr>
    </w:p>
    <w:p w:rsidR="00686B79" w:rsidRPr="00D91C10" w:rsidRDefault="00686B79" w:rsidP="00686B79">
      <w:pPr>
        <w:rPr>
          <w:b/>
          <w:sz w:val="24"/>
          <w:szCs w:val="24"/>
          <w:lang w:val="en-US"/>
        </w:rPr>
      </w:pPr>
    </w:p>
    <w:p w:rsidR="009C7E5B" w:rsidRPr="009C7E5B" w:rsidRDefault="00686B79" w:rsidP="00F41FBD">
      <w:pPr>
        <w:pStyle w:val="Seo"/>
        <w:rPr>
          <w:sz w:val="20"/>
          <w:szCs w:val="20"/>
        </w:rPr>
      </w:pPr>
      <w:r w:rsidRPr="00F41FBD">
        <w:rPr>
          <w:rStyle w:val="SeoChar"/>
          <w:b/>
        </w:rPr>
        <w:t>INTRODUÇÃO</w:t>
      </w:r>
    </w:p>
    <w:p w:rsidR="009C7E5B" w:rsidRDefault="009C7E5B" w:rsidP="009C7E5B">
      <w:pPr>
        <w:ind w:left="720"/>
        <w:rPr>
          <w:b/>
          <w:sz w:val="24"/>
          <w:szCs w:val="24"/>
        </w:rPr>
      </w:pPr>
    </w:p>
    <w:p w:rsidR="009C7E5B" w:rsidRPr="009C7E5B" w:rsidRDefault="009C7E5B" w:rsidP="009C7E5B">
      <w:pPr>
        <w:ind w:firstLine="360"/>
        <w:rPr>
          <w:sz w:val="24"/>
        </w:rPr>
      </w:pPr>
      <w:r w:rsidRPr="009C7E5B">
        <w:rPr>
          <w:sz w:val="24"/>
        </w:rPr>
        <w:t xml:space="preserve">O tratamento de superfície dos materiais tem por finalidade conferir ao </w:t>
      </w:r>
      <w:proofErr w:type="gramStart"/>
      <w:r w:rsidRPr="009C7E5B">
        <w:rPr>
          <w:sz w:val="24"/>
        </w:rPr>
        <w:t>material novas</w:t>
      </w:r>
      <w:proofErr w:type="gramEnd"/>
      <w:r w:rsidRPr="009C7E5B">
        <w:rPr>
          <w:sz w:val="24"/>
        </w:rPr>
        <w:t xml:space="preserve"> características sem alterar suas propriedades internas e funcionais, e como consequência disso, aumentar o campo de suas aplicações. Muitas tecnológicas têm sido desenvolvidas para melhorar as propriedades químicas, mecânicas e biológica</w:t>
      </w:r>
      <w:r w:rsidR="00C012B3">
        <w:rPr>
          <w:sz w:val="24"/>
        </w:rPr>
        <w:t>s de materiais (DOROZHKIN, 2012</w:t>
      </w:r>
      <w:r w:rsidRPr="009C7E5B">
        <w:rPr>
          <w:sz w:val="24"/>
        </w:rPr>
        <w:t>). O desenvolvimento tecnológico envolvendo a Engenharia de Plasmas tem fundamental importância nas indústrias eletrônica, aeroespacial, metalúrgica, biomédica e de tratamento de resíduos e detritos e pode ser uma atraente alternativa de processamento de materiais para a obtenção de filmes finos protetivo</w:t>
      </w:r>
      <w:r w:rsidR="00C012B3">
        <w:rPr>
          <w:sz w:val="24"/>
        </w:rPr>
        <w:t>s em ligas metálicas</w:t>
      </w:r>
      <w:r w:rsidRPr="009C7E5B">
        <w:rPr>
          <w:sz w:val="24"/>
        </w:rPr>
        <w:t>. Todos os materiais existentes possuem suas características naturais e alguns podem se tornar com intensidade alta, média ou baixa: agressivos, corrosivos, biologicamente incompatíveis, sensíveis à luz, ao aquecimento ou à oxidação, hidrofílicos, transparentes e / ou viscosos. Dependendo das situações e aplicações, tais propriedades são desejáveis ou indesejáveis. No último caso, para eliminar as propriedades indesejadas, a superfícies destes materiais devem ser modificadas. Para se produzir superfícies com características adequadas para sua aplicação, foi desenvolvida a engenharia de superfície. Em termos gerais essa tem aplicações para química, engenharia mecânica e engenharia elétrica (DOROZHKIN, 2012).</w:t>
      </w:r>
    </w:p>
    <w:p w:rsidR="009C7E5B" w:rsidRDefault="009C7E5B" w:rsidP="009C7E5B">
      <w:pPr>
        <w:autoSpaceDE/>
        <w:autoSpaceDN/>
        <w:ind w:firstLine="567"/>
        <w:rPr>
          <w:sz w:val="24"/>
        </w:rPr>
      </w:pPr>
      <w:r w:rsidRPr="009C7E5B">
        <w:rPr>
          <w:sz w:val="24"/>
        </w:rPr>
        <w:lastRenderedPageBreak/>
        <w:t>O Titânio possui característica inerte e estabilidade química e em comparação com outros metais possui</w:t>
      </w:r>
      <w:r w:rsidR="00EB1E04">
        <w:rPr>
          <w:sz w:val="24"/>
        </w:rPr>
        <w:t xml:space="preserve"> alta</w:t>
      </w:r>
      <w:r w:rsidRPr="009C7E5B">
        <w:rPr>
          <w:sz w:val="24"/>
        </w:rPr>
        <w:t xml:space="preserve"> biocompatibilidade</w:t>
      </w:r>
      <w:r w:rsidR="00EB1E04">
        <w:rPr>
          <w:sz w:val="24"/>
        </w:rPr>
        <w:t xml:space="preserve">, ou seja, </w:t>
      </w:r>
      <w:r w:rsidR="00EB1E04" w:rsidRPr="009C7E5B">
        <w:rPr>
          <w:sz w:val="24"/>
        </w:rPr>
        <w:t>não tóxico</w:t>
      </w:r>
      <w:r w:rsidR="00EB1E04">
        <w:rPr>
          <w:sz w:val="24"/>
        </w:rPr>
        <w:t xml:space="preserve"> e não é rejeitado pelo </w:t>
      </w:r>
      <w:proofErr w:type="gramStart"/>
      <w:r w:rsidR="00EB1E04">
        <w:rPr>
          <w:sz w:val="24"/>
        </w:rPr>
        <w:t>corpo</w:t>
      </w:r>
      <w:r w:rsidRPr="009C7E5B">
        <w:rPr>
          <w:sz w:val="24"/>
        </w:rPr>
        <w:t>(</w:t>
      </w:r>
      <w:proofErr w:type="gramEnd"/>
      <w:r w:rsidRPr="009C7E5B">
        <w:rPr>
          <w:sz w:val="24"/>
        </w:rPr>
        <w:t xml:space="preserve">DOROZHKIN, 2012). Entretanto, suas características </w:t>
      </w:r>
      <w:proofErr w:type="spellStart"/>
      <w:r w:rsidRPr="009C7E5B">
        <w:rPr>
          <w:sz w:val="24"/>
        </w:rPr>
        <w:t>bioinertes</w:t>
      </w:r>
      <w:proofErr w:type="spellEnd"/>
      <w:r w:rsidRPr="009C7E5B">
        <w:rPr>
          <w:sz w:val="24"/>
        </w:rPr>
        <w:t>, necessitam de mudanças em sua superfície para se tornar bioativo e</w:t>
      </w:r>
      <w:r w:rsidR="00723628">
        <w:rPr>
          <w:sz w:val="24"/>
        </w:rPr>
        <w:t xml:space="preserve"> melhorar sua osseointegração</w:t>
      </w:r>
      <w:r w:rsidRPr="009C7E5B">
        <w:rPr>
          <w:sz w:val="24"/>
        </w:rPr>
        <w:t>. Ele é o metal mais utilizado em implantes dentár</w:t>
      </w:r>
      <w:r w:rsidR="00EB1E04">
        <w:rPr>
          <w:sz w:val="24"/>
        </w:rPr>
        <w:t xml:space="preserve">ios e ortopédicos em virtude de </w:t>
      </w:r>
      <w:r w:rsidRPr="009C7E5B">
        <w:rPr>
          <w:sz w:val="24"/>
        </w:rPr>
        <w:t>possuir estabilidade química em comparação com outros metais; possui biocompatibilidade e não provoca reações biológicas adversas (DOROZHKIN, 2012). Entretanto, há possibilidade de modificar e melhorar suas propriedades de superfície e aumentar o grau de biocompatibilidade do implante em relação ao tecido ósseo principalmente na substituição do osso humano, ou seja, utilizado como implantes e elementos cirúrgicos, como juntos e encaixes de quadril</w:t>
      </w:r>
      <w:r w:rsidR="00723628">
        <w:rPr>
          <w:sz w:val="24"/>
        </w:rPr>
        <w:t xml:space="preserve"> (substituição de articulações) ou implantes dentários.</w:t>
      </w:r>
    </w:p>
    <w:p w:rsidR="00624C21" w:rsidRDefault="00624C21" w:rsidP="00624C21">
      <w:pPr>
        <w:pStyle w:val="NormalWeb"/>
        <w:spacing w:before="0" w:beforeAutospacing="0" w:after="0" w:afterAutospacing="0"/>
        <w:ind w:firstLine="567"/>
        <w:jc w:val="both"/>
        <w:rPr>
          <w:rFonts w:ascii="Arial" w:eastAsia="MS Mincho" w:hAnsi="Arial"/>
          <w:szCs w:val="20"/>
        </w:rPr>
      </w:pPr>
      <w:r w:rsidRPr="00C90423">
        <w:rPr>
          <w:rFonts w:ascii="Arial" w:eastAsia="MS Mincho" w:hAnsi="Arial"/>
          <w:szCs w:val="20"/>
        </w:rPr>
        <w:t xml:space="preserve">O Titânio tem a capacidade inerente de osseointegração, permitindo o uso em implantes dentários que podem durar mais de 30 anos. Esta propriedade também é útil para aplicações de implantes ortopédicos (VULCAN, 2019). Eles se beneficiam do módulo de elasticidade mais baixo do Titânio (módulo de Young) para se aproximar mais do osso que esses dispositivos devem reparar. Como resultado, as cargas esqueléticas são mais uniformemente compartilhadas entre o osso e o implante, levando a uma menor incidência de degradação óssea devido à proteção contra estresse e fratura periprotética, que ocorrem nos limites dos implantes ortopédicos. No entanto, a rigidez das ligas de Titânio é ainda mais do que o dobro da do osso, pelo que o osso adjacente suporta uma carga bastante reduzida e pode deteriorar-se (ROSA, 2013; VULCAN, 2019). </w:t>
      </w:r>
      <w:proofErr w:type="gramStart"/>
      <w:r w:rsidRPr="00C90423">
        <w:rPr>
          <w:rFonts w:ascii="Arial" w:eastAsia="MS Mincho" w:hAnsi="Arial"/>
          <w:szCs w:val="20"/>
        </w:rPr>
        <w:t>Além disso</w:t>
      </w:r>
      <w:proofErr w:type="gramEnd"/>
      <w:r w:rsidRPr="00C90423">
        <w:rPr>
          <w:rFonts w:ascii="Arial" w:eastAsia="MS Mincho" w:hAnsi="Arial"/>
          <w:szCs w:val="20"/>
        </w:rPr>
        <w:t xml:space="preserve"> como</w:t>
      </w:r>
      <w:r w:rsidR="00723628">
        <w:rPr>
          <w:rFonts w:ascii="Arial" w:eastAsia="MS Mincho" w:hAnsi="Arial"/>
          <w:szCs w:val="20"/>
        </w:rPr>
        <w:t xml:space="preserve"> o Titânio não é ferromagnético então</w:t>
      </w:r>
      <w:r w:rsidRPr="00C90423">
        <w:rPr>
          <w:rFonts w:ascii="Arial" w:eastAsia="MS Mincho" w:hAnsi="Arial"/>
          <w:szCs w:val="20"/>
        </w:rPr>
        <w:t xml:space="preserve"> os pacientes com implantes de Titânio podem ser examinados com segurança por meio de ressonância magnética (conveniente para implantes de longo prazo).</w:t>
      </w:r>
    </w:p>
    <w:p w:rsidR="00F41FBD" w:rsidRDefault="00F41FBD" w:rsidP="00624C21">
      <w:pPr>
        <w:pStyle w:val="NormalWeb"/>
        <w:spacing w:before="0" w:beforeAutospacing="0" w:after="0" w:afterAutospacing="0"/>
        <w:ind w:firstLine="567"/>
        <w:jc w:val="both"/>
        <w:rPr>
          <w:rFonts w:ascii="Arial" w:eastAsia="MS Mincho" w:hAnsi="Arial"/>
          <w:szCs w:val="20"/>
        </w:rPr>
      </w:pPr>
    </w:p>
    <w:p w:rsidR="00F41FBD" w:rsidRPr="009C7E5B" w:rsidRDefault="00F41FBD" w:rsidP="00F41FBD">
      <w:pPr>
        <w:ind w:firstLine="567"/>
      </w:pPr>
      <w:proofErr w:type="gramStart"/>
      <w:r w:rsidRPr="00A676BC">
        <w:rPr>
          <w:rStyle w:val="SeoChar"/>
        </w:rPr>
        <w:t>1.1</w:t>
      </w:r>
      <w:r>
        <w:rPr>
          <w:rStyle w:val="SeoChar"/>
        </w:rPr>
        <w:t xml:space="preserve"> Oxidação</w:t>
      </w:r>
      <w:proofErr w:type="gramEnd"/>
      <w:r>
        <w:rPr>
          <w:rStyle w:val="SeoChar"/>
        </w:rPr>
        <w:t xml:space="preserve"> Eletrolítica a Plasma</w:t>
      </w:r>
    </w:p>
    <w:p w:rsidR="00F41FBD" w:rsidRPr="00C90423" w:rsidRDefault="00F41FBD" w:rsidP="00624C21">
      <w:pPr>
        <w:pStyle w:val="NormalWeb"/>
        <w:spacing w:before="0" w:beforeAutospacing="0" w:after="0" w:afterAutospacing="0"/>
        <w:ind w:firstLine="567"/>
        <w:jc w:val="both"/>
        <w:rPr>
          <w:rFonts w:ascii="Arial" w:eastAsia="MS Mincho" w:hAnsi="Arial"/>
          <w:szCs w:val="20"/>
        </w:rPr>
      </w:pPr>
    </w:p>
    <w:p w:rsidR="00F41FBD" w:rsidRPr="00624C21" w:rsidRDefault="00F41FBD" w:rsidP="00F41FBD">
      <w:pPr>
        <w:autoSpaceDE/>
        <w:autoSpaceDN/>
        <w:ind w:firstLine="567"/>
        <w:rPr>
          <w:sz w:val="24"/>
        </w:rPr>
      </w:pPr>
      <w:r w:rsidRPr="00624C21">
        <w:rPr>
          <w:sz w:val="24"/>
        </w:rPr>
        <w:t xml:space="preserve">Como a anodização convencional, a anodização a plasma pode ser realizado em fonte de corrente contínua (DC), mas pesquisas revelaram que fontes de corrente alternada (AC) permitem a produção de filmes com menos porosidade superficial, isto é, mais uniformes (ZHU </w:t>
      </w:r>
      <w:proofErr w:type="gramStart"/>
      <w:r w:rsidRPr="00624C21">
        <w:rPr>
          <w:sz w:val="24"/>
        </w:rPr>
        <w:t>et</w:t>
      </w:r>
      <w:proofErr w:type="gramEnd"/>
      <w:r w:rsidRPr="00624C21">
        <w:rPr>
          <w:sz w:val="24"/>
        </w:rPr>
        <w:t xml:space="preserve"> al, 2016). Atualmente fontes pulsadas, bipolares, ou híbridas têm sido usadas nas pesquisas (LUGOVSKOY </w:t>
      </w:r>
      <w:proofErr w:type="gramStart"/>
      <w:r w:rsidRPr="00624C21">
        <w:rPr>
          <w:sz w:val="24"/>
        </w:rPr>
        <w:t>et</w:t>
      </w:r>
      <w:proofErr w:type="gramEnd"/>
      <w:r w:rsidRPr="00624C21">
        <w:rPr>
          <w:sz w:val="24"/>
        </w:rPr>
        <w:t xml:space="preserve"> al, 2013), para atingirem revestimentos de qualidade superior.</w:t>
      </w:r>
    </w:p>
    <w:p w:rsidR="00624C21" w:rsidRPr="00624C21" w:rsidRDefault="00624C21" w:rsidP="00624C21">
      <w:pPr>
        <w:autoSpaceDE/>
        <w:autoSpaceDN/>
        <w:ind w:firstLine="567"/>
        <w:rPr>
          <w:sz w:val="24"/>
        </w:rPr>
      </w:pPr>
      <w:r w:rsidRPr="00624C21">
        <w:rPr>
          <w:sz w:val="24"/>
        </w:rPr>
        <w:t>Comparado ao processo convencional, o PEO pode ser realizado em única etapa e em tempos reduzidos, e utiliza soluções básicas ou alcalinas. Isto é possível devido às altas tensões na fonte de energia usada no processo, que estabelecem o plasma no meio e</w:t>
      </w:r>
      <w:r w:rsidR="00A676BC">
        <w:rPr>
          <w:sz w:val="24"/>
        </w:rPr>
        <w:t>letrolítico sobre a camada em deposição sobre a superfície da amostra</w:t>
      </w:r>
      <w:r w:rsidRPr="00624C21">
        <w:rPr>
          <w:sz w:val="24"/>
        </w:rPr>
        <w:t xml:space="preserve">, por isso também denominado anodização a plasma ou galvanização a plasma. A ação simultânea da descarga elétrica com as reações eletroquímicas induz novos mecanismos físicos – químicos que geram camadas de óxidos com </w:t>
      </w:r>
      <w:r w:rsidR="00214036">
        <w:rPr>
          <w:sz w:val="24"/>
        </w:rPr>
        <w:t>propriedades únicas (ROCHA, 201</w:t>
      </w:r>
      <w:r w:rsidRPr="00624C21">
        <w:rPr>
          <w:sz w:val="24"/>
        </w:rPr>
        <w:t xml:space="preserve">1; GUPTA </w:t>
      </w:r>
      <w:proofErr w:type="gramStart"/>
      <w:r w:rsidRPr="00624C21">
        <w:rPr>
          <w:sz w:val="24"/>
        </w:rPr>
        <w:t>et</w:t>
      </w:r>
      <w:proofErr w:type="gramEnd"/>
      <w:r w:rsidRPr="00624C21">
        <w:rPr>
          <w:sz w:val="24"/>
        </w:rPr>
        <w:t xml:space="preserve"> al, 2007).</w:t>
      </w:r>
    </w:p>
    <w:p w:rsidR="00624C21" w:rsidRPr="00624C21" w:rsidRDefault="00624C21" w:rsidP="00624C21">
      <w:pPr>
        <w:autoSpaceDE/>
        <w:autoSpaceDN/>
        <w:ind w:firstLine="567"/>
        <w:rPr>
          <w:sz w:val="24"/>
        </w:rPr>
      </w:pPr>
      <w:r w:rsidRPr="00624C21">
        <w:rPr>
          <w:sz w:val="24"/>
        </w:rPr>
        <w:lastRenderedPageBreak/>
        <w:t>Para viabilizar o projeto será utilizada uma fonte DC variando de (0 – 20 A) e (</w:t>
      </w:r>
      <w:proofErr w:type="gramStart"/>
      <w:r w:rsidRPr="00624C21">
        <w:rPr>
          <w:sz w:val="24"/>
        </w:rPr>
        <w:t>0 – 1000</w:t>
      </w:r>
      <w:proofErr w:type="gramEnd"/>
      <w:r w:rsidRPr="00624C21">
        <w:rPr>
          <w:sz w:val="24"/>
        </w:rPr>
        <w:t xml:space="preserve"> V). As soluções eletrolíticas proposta para esse projeto são as soluções de Glicerol + NH4F ou fluoreto de amônio. É líquido à temperatura ambiente, higroscópico, inodoro, viscoso e de sabor adocicado.</w:t>
      </w:r>
    </w:p>
    <w:p w:rsidR="00624C21" w:rsidRPr="00624C21" w:rsidRDefault="00624C21" w:rsidP="00A676BC">
      <w:pPr>
        <w:autoSpaceDE/>
        <w:autoSpaceDN/>
        <w:ind w:firstLine="567"/>
        <w:rPr>
          <w:rFonts w:ascii="Times New Roman" w:eastAsia="Times New Roman" w:hAnsi="Times New Roman"/>
          <w:sz w:val="24"/>
          <w:szCs w:val="24"/>
        </w:rPr>
      </w:pPr>
      <w:r w:rsidRPr="00624C21">
        <w:rPr>
          <w:rFonts w:ascii="Times New Roman" w:eastAsia="Times New Roman" w:hAnsi="Times New Roman"/>
          <w:color w:val="000000"/>
          <w:sz w:val="24"/>
          <w:szCs w:val="24"/>
        </w:rPr>
        <w:t xml:space="preserve">Fórmula: </w:t>
      </w:r>
      <w:r w:rsidRPr="00624C21">
        <w:rPr>
          <w:rFonts w:ascii="Times New Roman" w:eastAsia="Times New Roman" w:hAnsi="Times New Roman"/>
          <w:b/>
          <w:bCs/>
          <w:color w:val="000000"/>
          <w:sz w:val="24"/>
          <w:szCs w:val="24"/>
        </w:rPr>
        <w:t>C</w:t>
      </w:r>
      <w:r w:rsidRPr="00624C21">
        <w:rPr>
          <w:rFonts w:ascii="Times New Roman" w:eastAsia="Times New Roman" w:hAnsi="Times New Roman"/>
          <w:b/>
          <w:bCs/>
          <w:color w:val="000000"/>
          <w:sz w:val="14"/>
          <w:szCs w:val="14"/>
          <w:vertAlign w:val="subscript"/>
        </w:rPr>
        <w:t>3</w:t>
      </w:r>
      <w:r w:rsidRPr="00624C21">
        <w:rPr>
          <w:rFonts w:ascii="Times New Roman" w:eastAsia="Times New Roman" w:hAnsi="Times New Roman"/>
          <w:b/>
          <w:bCs/>
          <w:color w:val="000000"/>
          <w:sz w:val="24"/>
          <w:szCs w:val="24"/>
        </w:rPr>
        <w:t>H</w:t>
      </w:r>
      <w:r w:rsidRPr="00624C21">
        <w:rPr>
          <w:rFonts w:ascii="Times New Roman" w:eastAsia="Times New Roman" w:hAnsi="Times New Roman"/>
          <w:b/>
          <w:bCs/>
          <w:color w:val="000000"/>
          <w:sz w:val="14"/>
          <w:szCs w:val="14"/>
          <w:vertAlign w:val="subscript"/>
        </w:rPr>
        <w:t>8</w:t>
      </w:r>
      <w:r w:rsidRPr="00624C21">
        <w:rPr>
          <w:rFonts w:ascii="Times New Roman" w:eastAsia="Times New Roman" w:hAnsi="Times New Roman"/>
          <w:b/>
          <w:bCs/>
          <w:color w:val="000000"/>
          <w:sz w:val="24"/>
          <w:szCs w:val="24"/>
        </w:rPr>
        <w:t>O</w:t>
      </w:r>
      <w:r w:rsidRPr="00624C21">
        <w:rPr>
          <w:rFonts w:ascii="Times New Roman" w:eastAsia="Times New Roman" w:hAnsi="Times New Roman"/>
          <w:b/>
          <w:bCs/>
          <w:color w:val="000000"/>
          <w:sz w:val="14"/>
          <w:szCs w:val="14"/>
          <w:vertAlign w:val="subscript"/>
        </w:rPr>
        <w:t>3</w:t>
      </w:r>
      <w:r w:rsidRPr="00624C21">
        <w:rPr>
          <w:rFonts w:ascii="Times New Roman" w:eastAsia="Times New Roman" w:hAnsi="Times New Roman"/>
          <w:b/>
          <w:bCs/>
          <w:color w:val="000000"/>
          <w:sz w:val="24"/>
          <w:szCs w:val="24"/>
        </w:rPr>
        <w:t xml:space="preserve"> + H</w:t>
      </w:r>
      <w:r w:rsidRPr="00624C21">
        <w:rPr>
          <w:rFonts w:ascii="Times New Roman" w:eastAsia="Times New Roman" w:hAnsi="Times New Roman"/>
          <w:b/>
          <w:bCs/>
          <w:color w:val="000000"/>
          <w:sz w:val="14"/>
          <w:szCs w:val="14"/>
          <w:vertAlign w:val="subscript"/>
        </w:rPr>
        <w:t>2</w:t>
      </w:r>
      <w:r w:rsidRPr="00624C21">
        <w:rPr>
          <w:rFonts w:ascii="Times New Roman" w:eastAsia="Times New Roman" w:hAnsi="Times New Roman"/>
          <w:b/>
          <w:bCs/>
          <w:color w:val="000000"/>
          <w:sz w:val="24"/>
          <w:szCs w:val="24"/>
        </w:rPr>
        <w:t>O + NH</w:t>
      </w:r>
      <w:r w:rsidRPr="00624C21">
        <w:rPr>
          <w:rFonts w:ascii="Times New Roman" w:eastAsia="Times New Roman" w:hAnsi="Times New Roman"/>
          <w:b/>
          <w:bCs/>
          <w:color w:val="000000"/>
          <w:sz w:val="14"/>
          <w:szCs w:val="14"/>
          <w:vertAlign w:val="subscript"/>
        </w:rPr>
        <w:t>4</w:t>
      </w:r>
      <w:r w:rsidRPr="00624C21">
        <w:rPr>
          <w:rFonts w:ascii="Times New Roman" w:eastAsia="Times New Roman" w:hAnsi="Times New Roman"/>
          <w:b/>
          <w:bCs/>
          <w:color w:val="000000"/>
          <w:sz w:val="24"/>
          <w:szCs w:val="24"/>
        </w:rPr>
        <w:t>F</w:t>
      </w:r>
    </w:p>
    <w:p w:rsidR="00624C21" w:rsidRDefault="00624C21" w:rsidP="00624C21">
      <w:pPr>
        <w:autoSpaceDE/>
        <w:autoSpaceDN/>
        <w:ind w:firstLine="567"/>
        <w:rPr>
          <w:sz w:val="24"/>
        </w:rPr>
      </w:pPr>
      <w:r w:rsidRPr="00624C21">
        <w:rPr>
          <w:sz w:val="24"/>
        </w:rPr>
        <w:t xml:space="preserve">O Titânio para implantação no corpo envolve submetê-lo a um arco de plasma de alta temperatura que remove os átomos da superfície, expondo o Titânio fresco que é instantaneamente oxidado (ROSA, 2013; VULCAN, 2019). </w:t>
      </w:r>
    </w:p>
    <w:p w:rsidR="00A676BC" w:rsidRDefault="00A676BC" w:rsidP="00624C21">
      <w:pPr>
        <w:autoSpaceDE/>
        <w:autoSpaceDN/>
        <w:ind w:firstLine="567"/>
        <w:rPr>
          <w:sz w:val="24"/>
        </w:rPr>
      </w:pPr>
    </w:p>
    <w:p w:rsidR="00A676BC" w:rsidRPr="00624C21" w:rsidRDefault="00A676BC" w:rsidP="00A676BC">
      <w:pPr>
        <w:pStyle w:val="Seo"/>
        <w:numPr>
          <w:ilvl w:val="0"/>
          <w:numId w:val="0"/>
        </w:numPr>
        <w:ind w:left="786"/>
      </w:pPr>
      <w:r>
        <w:t>1.2 Biocompatibilidade</w:t>
      </w:r>
    </w:p>
    <w:p w:rsidR="009C7E5B" w:rsidRPr="009C7E5B" w:rsidRDefault="00C40973" w:rsidP="00C40973">
      <w:pPr>
        <w:pStyle w:val="SemEspaamento"/>
      </w:pPr>
      <w:r>
        <w:t xml:space="preserve">Do ponto de vista clínico, um </w:t>
      </w:r>
      <w:proofErr w:type="spellStart"/>
      <w:r>
        <w:t>biomaterial</w:t>
      </w:r>
      <w:proofErr w:type="spellEnd"/>
      <w:r>
        <w:t xml:space="preserve"> sintético ideal como substituto ósseo, além de provocar uma reação fibrosa mínima, deve ser bioativo, capaz de levar à neoformação óssea e troca de íons com o tecido ósseo. Mecanicamente, o material deve apresentar resistência similar ao tecido cortical ou </w:t>
      </w:r>
      <w:proofErr w:type="spellStart"/>
      <w:r>
        <w:t>trabecular</w:t>
      </w:r>
      <w:proofErr w:type="spellEnd"/>
      <w:r>
        <w:t xml:space="preserve"> que está sendo substituído (</w:t>
      </w:r>
      <w:proofErr w:type="spellStart"/>
      <w:r>
        <w:t>Giannoudis</w:t>
      </w:r>
      <w:proofErr w:type="spellEnd"/>
      <w:r>
        <w:t>, 2005).</w:t>
      </w:r>
      <w:r w:rsidR="00B5274F">
        <w:t xml:space="preserve"> O titânio já é naturalmente biocompatível, ou seja, não provoca reações ne</w:t>
      </w:r>
      <w:r w:rsidR="0042094A">
        <w:t>gativas do organismo</w:t>
      </w:r>
      <w:r w:rsidR="00D91C10">
        <w:t xml:space="preserve"> e provoca uma reação fibrosa mínima</w:t>
      </w:r>
      <w:r w:rsidR="0042094A">
        <w:t>.</w:t>
      </w:r>
      <w:r w:rsidR="00147212">
        <w:t xml:space="preserve"> A alta porosidade e presença de poros é importante para o sucesso da </w:t>
      </w:r>
      <w:proofErr w:type="gramStart"/>
      <w:r w:rsidR="00147212">
        <w:t>implementação</w:t>
      </w:r>
      <w:proofErr w:type="gramEnd"/>
      <w:r w:rsidR="00147212">
        <w:t xml:space="preserve"> do material no organismo (MACHADO, 2008)</w:t>
      </w:r>
      <w:r w:rsidR="006D0A0F">
        <w:t xml:space="preserve"> assim com o uso de métodos de tratamento de superfície podemos modificar a superfície do titânio para uma melhor adequação conforme a necessidade para melhorar sua biocompatibilidade.</w:t>
      </w:r>
    </w:p>
    <w:p w:rsidR="009C7E5B" w:rsidRPr="009C7E5B" w:rsidRDefault="009C7E5B" w:rsidP="009C7E5B">
      <w:pPr>
        <w:autoSpaceDE/>
        <w:autoSpaceDN/>
        <w:ind w:firstLine="567"/>
        <w:rPr>
          <w:rFonts w:ascii="Times New Roman" w:eastAsia="Times New Roman" w:hAnsi="Times New Roman"/>
          <w:sz w:val="24"/>
          <w:szCs w:val="24"/>
        </w:rPr>
      </w:pPr>
    </w:p>
    <w:p w:rsidR="00E218E7" w:rsidRDefault="009C7E5B" w:rsidP="009C7E5B">
      <w:pPr>
        <w:pStyle w:val="Seo"/>
      </w:pPr>
      <w:r>
        <w:t>METODOLOGIA</w:t>
      </w:r>
    </w:p>
    <w:p w:rsidR="00624C21" w:rsidRPr="00C90423" w:rsidRDefault="00624C21" w:rsidP="00C90423">
      <w:pPr>
        <w:autoSpaceDE/>
        <w:autoSpaceDN/>
        <w:ind w:firstLine="567"/>
        <w:rPr>
          <w:sz w:val="24"/>
        </w:rPr>
      </w:pPr>
      <w:r w:rsidRPr="00C90423">
        <w:rPr>
          <w:sz w:val="24"/>
        </w:rPr>
        <w:t>Para o desenvolvimento deste projeto foi utilizado as dependências do Laboratório de Plasma Eletrolítico (</w:t>
      </w:r>
      <w:proofErr w:type="gramStart"/>
      <w:r w:rsidRPr="00C90423">
        <w:rPr>
          <w:sz w:val="24"/>
        </w:rPr>
        <w:t>LaPE</w:t>
      </w:r>
      <w:proofErr w:type="gramEnd"/>
      <w:r w:rsidRPr="00C90423">
        <w:rPr>
          <w:sz w:val="24"/>
        </w:rPr>
        <w:t>), instalado na FATEC – Pindamonhangaba.</w:t>
      </w:r>
    </w:p>
    <w:p w:rsidR="00624C21" w:rsidRPr="00624C21" w:rsidRDefault="00624C21" w:rsidP="00624C21">
      <w:pPr>
        <w:autoSpaceDE/>
        <w:autoSpaceDN/>
        <w:ind w:firstLine="567"/>
        <w:rPr>
          <w:sz w:val="24"/>
        </w:rPr>
      </w:pPr>
      <w:r w:rsidRPr="00624C21">
        <w:rPr>
          <w:sz w:val="24"/>
        </w:rPr>
        <w:t>O sistema eletrolítico que será utilizado nos processos de anodização a plasma é mostrado na Figura 3, sendo constituído pelos seguintes equipamentos:</w:t>
      </w:r>
    </w:p>
    <w:p w:rsidR="00624C21" w:rsidRPr="00624C21" w:rsidRDefault="00624C21" w:rsidP="00624C21">
      <w:pPr>
        <w:autoSpaceDE/>
        <w:autoSpaceDN/>
        <w:ind w:firstLine="567"/>
        <w:rPr>
          <w:sz w:val="24"/>
        </w:rPr>
      </w:pPr>
      <w:r w:rsidRPr="00624C21">
        <w:rPr>
          <w:sz w:val="24"/>
        </w:rPr>
        <w:t>[1] Fonte de tensão estabilizada CTRLTECH, com tensão variável de 0 a 1000 V CC, e corrente variável 0 a 20 A CC.</w:t>
      </w:r>
    </w:p>
    <w:p w:rsidR="00624C21" w:rsidRPr="00624C21" w:rsidRDefault="00624C21" w:rsidP="00624C21">
      <w:pPr>
        <w:autoSpaceDE/>
        <w:autoSpaceDN/>
        <w:ind w:firstLine="567"/>
        <w:rPr>
          <w:sz w:val="24"/>
        </w:rPr>
      </w:pPr>
      <w:r w:rsidRPr="00624C21">
        <w:rPr>
          <w:sz w:val="24"/>
        </w:rPr>
        <w:t>[2] Agitador mecânico FISATOM para soluções até 1,5 litros e potência de 25 W.</w:t>
      </w:r>
    </w:p>
    <w:p w:rsidR="00624C21" w:rsidRPr="00624C21" w:rsidRDefault="00624C21" w:rsidP="00624C21">
      <w:pPr>
        <w:autoSpaceDE/>
        <w:autoSpaceDN/>
        <w:ind w:firstLine="567"/>
        <w:rPr>
          <w:sz w:val="24"/>
        </w:rPr>
      </w:pPr>
      <w:r w:rsidRPr="00624C21">
        <w:rPr>
          <w:sz w:val="24"/>
        </w:rPr>
        <w:t>[3] Multímetros MINIPA modelo ET2030A, para medidas de tensões e correntes.</w:t>
      </w:r>
    </w:p>
    <w:p w:rsidR="00624C21" w:rsidRPr="00624C21" w:rsidRDefault="00624C21" w:rsidP="00624C21">
      <w:pPr>
        <w:autoSpaceDE/>
        <w:autoSpaceDN/>
        <w:ind w:firstLine="567"/>
        <w:rPr>
          <w:sz w:val="24"/>
        </w:rPr>
      </w:pPr>
      <w:r w:rsidRPr="00624C21">
        <w:rPr>
          <w:sz w:val="24"/>
        </w:rPr>
        <w:t>[4] Termômetro mercúrio (0ºC – 200ºC), para medidas da temperatura da solução.</w:t>
      </w:r>
    </w:p>
    <w:p w:rsidR="00624C21" w:rsidRPr="00624C21" w:rsidRDefault="00624C21" w:rsidP="00624C21">
      <w:pPr>
        <w:autoSpaceDE/>
        <w:autoSpaceDN/>
        <w:ind w:firstLine="567"/>
        <w:rPr>
          <w:sz w:val="24"/>
        </w:rPr>
      </w:pPr>
      <w:r w:rsidRPr="00624C21">
        <w:rPr>
          <w:sz w:val="24"/>
        </w:rPr>
        <w:t>[5] Cuba eletrolítica de aço inoxidável ou béquer vidro.</w:t>
      </w:r>
    </w:p>
    <w:p w:rsidR="00624C21" w:rsidRDefault="00624C21" w:rsidP="00624C21">
      <w:pPr>
        <w:autoSpaceDE/>
        <w:autoSpaceDN/>
        <w:ind w:firstLine="567"/>
        <w:rPr>
          <w:sz w:val="24"/>
        </w:rPr>
      </w:pPr>
      <w:r w:rsidRPr="00624C21">
        <w:rPr>
          <w:sz w:val="24"/>
        </w:rPr>
        <w:t>[6] Haste fina de Titânio, com 1,25 mm de diâmetro, usada para segurar os substratos dentro da célula eletrolítica. Esta haste é isolada por uma fita de teflon para não participar do processo.</w:t>
      </w:r>
    </w:p>
    <w:p w:rsidR="00687DEA" w:rsidRDefault="00687DEA" w:rsidP="00624C21">
      <w:pPr>
        <w:autoSpaceDE/>
        <w:autoSpaceDN/>
        <w:ind w:firstLine="567"/>
        <w:rPr>
          <w:sz w:val="24"/>
        </w:rPr>
      </w:pPr>
    </w:p>
    <w:p w:rsidR="00687DEA" w:rsidRDefault="00687DEA" w:rsidP="00624C21">
      <w:pPr>
        <w:autoSpaceDE/>
        <w:autoSpaceDN/>
        <w:ind w:firstLine="567"/>
        <w:rPr>
          <w:sz w:val="24"/>
        </w:rPr>
      </w:pPr>
    </w:p>
    <w:p w:rsidR="00687DEA" w:rsidRDefault="00687DEA" w:rsidP="00624C21">
      <w:pPr>
        <w:autoSpaceDE/>
        <w:autoSpaceDN/>
        <w:ind w:firstLine="567"/>
        <w:rPr>
          <w:sz w:val="24"/>
        </w:rPr>
      </w:pPr>
    </w:p>
    <w:p w:rsidR="00687DEA" w:rsidRPr="00624C21" w:rsidRDefault="00687DEA" w:rsidP="00624C21">
      <w:pPr>
        <w:autoSpaceDE/>
        <w:autoSpaceDN/>
        <w:ind w:firstLine="567"/>
        <w:rPr>
          <w:sz w:val="24"/>
        </w:rPr>
      </w:pPr>
    </w:p>
    <w:p w:rsidR="00624C21" w:rsidRPr="00624C21" w:rsidRDefault="00624C21" w:rsidP="00624C21">
      <w:pPr>
        <w:autoSpaceDE/>
        <w:autoSpaceDN/>
        <w:jc w:val="left"/>
        <w:rPr>
          <w:rFonts w:ascii="Times New Roman" w:eastAsia="Times New Roman" w:hAnsi="Times New Roman"/>
          <w:sz w:val="24"/>
          <w:szCs w:val="24"/>
        </w:rPr>
      </w:pPr>
    </w:p>
    <w:p w:rsidR="00624C21" w:rsidRPr="00624C21" w:rsidRDefault="00624C21" w:rsidP="00624C21">
      <w:pPr>
        <w:autoSpaceDE/>
        <w:autoSpaceDN/>
        <w:ind w:firstLine="567"/>
        <w:jc w:val="center"/>
        <w:rPr>
          <w:rFonts w:ascii="Times New Roman" w:eastAsia="Times New Roman" w:hAnsi="Times New Roman"/>
          <w:sz w:val="24"/>
          <w:szCs w:val="24"/>
        </w:rPr>
      </w:pPr>
      <w:r w:rsidRPr="00624C21">
        <w:rPr>
          <w:rFonts w:ascii="Times New Roman" w:eastAsia="Times New Roman" w:hAnsi="Times New Roman"/>
          <w:b/>
          <w:color w:val="000000"/>
          <w:sz w:val="24"/>
          <w:szCs w:val="24"/>
        </w:rPr>
        <w:lastRenderedPageBreak/>
        <w:t>Figura 4</w:t>
      </w:r>
      <w:r w:rsidRPr="00624C21">
        <w:rPr>
          <w:rFonts w:ascii="Times New Roman" w:eastAsia="Times New Roman" w:hAnsi="Times New Roman"/>
          <w:color w:val="000000"/>
          <w:sz w:val="24"/>
          <w:szCs w:val="24"/>
        </w:rPr>
        <w:t xml:space="preserve"> – Esquema de montagem para o experimento</w:t>
      </w:r>
    </w:p>
    <w:p w:rsidR="00624C21" w:rsidRDefault="00624C21" w:rsidP="00624C21">
      <w:pPr>
        <w:autoSpaceDE/>
        <w:autoSpaceDN/>
        <w:ind w:firstLine="567"/>
        <w:rPr>
          <w:rFonts w:ascii="Times New Roman" w:eastAsia="Times New Roman" w:hAnsi="Times New Roman"/>
          <w:sz w:val="24"/>
          <w:szCs w:val="24"/>
        </w:rPr>
      </w:pPr>
      <w:r w:rsidRPr="00624C21">
        <w:rPr>
          <w:rFonts w:ascii="Times New Roman" w:eastAsia="Times New Roman" w:hAnsi="Times New Roman"/>
          <w:noProof/>
          <w:color w:val="000000"/>
          <w:sz w:val="24"/>
          <w:szCs w:val="24"/>
          <w:bdr w:val="none" w:sz="0" w:space="0" w:color="auto" w:frame="1"/>
        </w:rPr>
        <w:drawing>
          <wp:inline distT="0" distB="0" distL="0" distR="0" wp14:anchorId="51F74F22" wp14:editId="17A3AE56">
            <wp:extent cx="4972050" cy="2197910"/>
            <wp:effectExtent l="0" t="0" r="0" b="0"/>
            <wp:docPr id="12" name="Imagem 12" descr="https://lh3.googleusercontent.com/1w6ALUeTg8gK1eugrs7lreA9S-lsViC4gBkV9gz5J3-tItEAjd1x_0Y1fn4bw2jevZ-ufwp51s8IHFeQ7giScHXnbw29eGs2_Jzi1vq3c5kVdBQN2yufsXiXnXIUlBQnGjad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1w6ALUeTg8gK1eugrs7lreA9S-lsViC4gBkV9gz5J3-tItEAjd1x_0Y1fn4bw2jevZ-ufwp51s8IHFeQ7giScHXnbw29eGs2_Jzi1vq3c5kVdBQN2yufsXiXnXIUlBQnGjadmM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4554" cy="2207858"/>
                    </a:xfrm>
                    <a:prstGeom prst="rect">
                      <a:avLst/>
                    </a:prstGeom>
                    <a:noFill/>
                    <a:ln>
                      <a:noFill/>
                    </a:ln>
                  </pic:spPr>
                </pic:pic>
              </a:graphicData>
            </a:graphic>
          </wp:inline>
        </w:drawing>
      </w:r>
    </w:p>
    <w:p w:rsidR="00624C21" w:rsidRPr="00E218E7" w:rsidRDefault="00624C21" w:rsidP="00624C21">
      <w:pPr>
        <w:pStyle w:val="SemEspaamento"/>
        <w:ind w:firstLine="0"/>
        <w:jc w:val="center"/>
        <w:rPr>
          <w:sz w:val="20"/>
        </w:rPr>
      </w:pPr>
      <w:r w:rsidRPr="00E218E7">
        <w:rPr>
          <w:b/>
          <w:sz w:val="20"/>
        </w:rPr>
        <w:t xml:space="preserve">Fonte: </w:t>
      </w:r>
      <w:r w:rsidRPr="00E218E7">
        <w:rPr>
          <w:sz w:val="20"/>
        </w:rPr>
        <w:t>O autor (2019)</w:t>
      </w:r>
    </w:p>
    <w:p w:rsidR="00624C21" w:rsidRPr="00624C21" w:rsidRDefault="00624C21" w:rsidP="00624C21">
      <w:pPr>
        <w:autoSpaceDE/>
        <w:autoSpaceDN/>
        <w:jc w:val="left"/>
        <w:rPr>
          <w:rFonts w:ascii="Times New Roman" w:eastAsia="Times New Roman" w:hAnsi="Times New Roman"/>
          <w:sz w:val="24"/>
          <w:szCs w:val="24"/>
        </w:rPr>
      </w:pPr>
    </w:p>
    <w:p w:rsidR="00624C21" w:rsidRPr="00624C21" w:rsidRDefault="00624C21" w:rsidP="00624C21">
      <w:pPr>
        <w:autoSpaceDE/>
        <w:autoSpaceDN/>
        <w:ind w:firstLine="567"/>
        <w:rPr>
          <w:sz w:val="24"/>
        </w:rPr>
      </w:pPr>
      <w:r w:rsidRPr="00624C21">
        <w:rPr>
          <w:sz w:val="24"/>
        </w:rPr>
        <w:t xml:space="preserve">Uma amostra retangular de espessura desprezível de </w:t>
      </w:r>
      <w:proofErr w:type="gramStart"/>
      <w:r w:rsidRPr="00624C21">
        <w:rPr>
          <w:sz w:val="24"/>
        </w:rPr>
        <w:t>1</w:t>
      </w:r>
      <w:proofErr w:type="gramEnd"/>
      <w:r w:rsidRPr="00624C21">
        <w:rPr>
          <w:sz w:val="24"/>
        </w:rPr>
        <w:t xml:space="preserve"> cm² (um centímetro quadrado) de Titânio puro (Ti</w:t>
      </w:r>
      <w:r w:rsidRPr="00624C21">
        <w:rPr>
          <w:sz w:val="24"/>
          <w:vertAlign w:val="subscript"/>
        </w:rPr>
        <w:t>2</w:t>
      </w:r>
      <w:r w:rsidRPr="00624C21">
        <w:rPr>
          <w:sz w:val="24"/>
        </w:rPr>
        <w:t>) foi mergulhada numa solução de glicerol</w:t>
      </w:r>
      <w:r w:rsidRPr="00624C21">
        <w:rPr>
          <w:rFonts w:ascii="Times New Roman" w:eastAsia="Times New Roman" w:hAnsi="Times New Roman"/>
          <w:color w:val="000000"/>
          <w:sz w:val="24"/>
          <w:szCs w:val="24"/>
        </w:rPr>
        <w:t xml:space="preserve"> (</w:t>
      </w:r>
      <w:r w:rsidRPr="00624C21">
        <w:rPr>
          <w:rFonts w:ascii="Times New Roman" w:eastAsia="Times New Roman" w:hAnsi="Times New Roman"/>
          <w:b/>
          <w:bCs/>
          <w:color w:val="000000"/>
          <w:sz w:val="24"/>
          <w:szCs w:val="24"/>
        </w:rPr>
        <w:t>C</w:t>
      </w:r>
      <w:r w:rsidRPr="00624C21">
        <w:rPr>
          <w:rFonts w:ascii="Times New Roman" w:eastAsia="Times New Roman" w:hAnsi="Times New Roman"/>
          <w:b/>
          <w:bCs/>
          <w:color w:val="000000"/>
          <w:sz w:val="14"/>
          <w:szCs w:val="14"/>
          <w:vertAlign w:val="subscript"/>
        </w:rPr>
        <w:t>3</w:t>
      </w:r>
      <w:r w:rsidRPr="00624C21">
        <w:rPr>
          <w:rFonts w:ascii="Times New Roman" w:eastAsia="Times New Roman" w:hAnsi="Times New Roman"/>
          <w:b/>
          <w:bCs/>
          <w:color w:val="000000"/>
          <w:sz w:val="24"/>
          <w:szCs w:val="24"/>
        </w:rPr>
        <w:t>H</w:t>
      </w:r>
      <w:r w:rsidRPr="00624C21">
        <w:rPr>
          <w:rFonts w:ascii="Times New Roman" w:eastAsia="Times New Roman" w:hAnsi="Times New Roman"/>
          <w:b/>
          <w:bCs/>
          <w:color w:val="000000"/>
          <w:sz w:val="14"/>
          <w:szCs w:val="14"/>
          <w:vertAlign w:val="subscript"/>
        </w:rPr>
        <w:t>8</w:t>
      </w:r>
      <w:r w:rsidRPr="00624C21">
        <w:rPr>
          <w:rFonts w:ascii="Times New Roman" w:eastAsia="Times New Roman" w:hAnsi="Times New Roman"/>
          <w:b/>
          <w:bCs/>
          <w:color w:val="000000"/>
          <w:sz w:val="24"/>
          <w:szCs w:val="24"/>
        </w:rPr>
        <w:t>O</w:t>
      </w:r>
      <w:r w:rsidRPr="00624C21">
        <w:rPr>
          <w:rFonts w:ascii="Times New Roman" w:eastAsia="Times New Roman" w:hAnsi="Times New Roman"/>
          <w:b/>
          <w:bCs/>
          <w:color w:val="000000"/>
          <w:sz w:val="14"/>
          <w:szCs w:val="14"/>
          <w:vertAlign w:val="subscript"/>
        </w:rPr>
        <w:t>3</w:t>
      </w:r>
      <w:r w:rsidRPr="00624C21">
        <w:rPr>
          <w:rFonts w:ascii="Times New Roman" w:eastAsia="Times New Roman" w:hAnsi="Times New Roman"/>
          <w:b/>
          <w:bCs/>
          <w:color w:val="000000"/>
          <w:sz w:val="24"/>
          <w:szCs w:val="24"/>
        </w:rPr>
        <w:t xml:space="preserve"> + H</w:t>
      </w:r>
      <w:r w:rsidRPr="00624C21">
        <w:rPr>
          <w:rFonts w:ascii="Times New Roman" w:eastAsia="Times New Roman" w:hAnsi="Times New Roman"/>
          <w:b/>
          <w:bCs/>
          <w:color w:val="000000"/>
          <w:sz w:val="14"/>
          <w:szCs w:val="14"/>
          <w:vertAlign w:val="subscript"/>
        </w:rPr>
        <w:t>2</w:t>
      </w:r>
      <w:r w:rsidRPr="00624C21">
        <w:rPr>
          <w:rFonts w:ascii="Times New Roman" w:eastAsia="Times New Roman" w:hAnsi="Times New Roman"/>
          <w:b/>
          <w:bCs/>
          <w:color w:val="000000"/>
          <w:sz w:val="24"/>
          <w:szCs w:val="24"/>
        </w:rPr>
        <w:t>O + NH</w:t>
      </w:r>
      <w:r w:rsidRPr="00624C21">
        <w:rPr>
          <w:rFonts w:ascii="Times New Roman" w:eastAsia="Times New Roman" w:hAnsi="Times New Roman"/>
          <w:b/>
          <w:bCs/>
          <w:color w:val="000000"/>
          <w:sz w:val="14"/>
          <w:szCs w:val="14"/>
          <w:vertAlign w:val="subscript"/>
        </w:rPr>
        <w:t>4</w:t>
      </w:r>
      <w:r w:rsidRPr="00624C21">
        <w:rPr>
          <w:rFonts w:ascii="Times New Roman" w:eastAsia="Times New Roman" w:hAnsi="Times New Roman"/>
          <w:b/>
          <w:bCs/>
          <w:color w:val="000000"/>
          <w:sz w:val="24"/>
          <w:szCs w:val="24"/>
        </w:rPr>
        <w:t>F</w:t>
      </w:r>
      <w:r w:rsidRPr="00624C21">
        <w:rPr>
          <w:rFonts w:ascii="Times New Roman" w:eastAsia="Times New Roman" w:hAnsi="Times New Roman"/>
          <w:color w:val="000000"/>
          <w:sz w:val="24"/>
          <w:szCs w:val="24"/>
        </w:rPr>
        <w:t xml:space="preserve">) </w:t>
      </w:r>
      <w:r w:rsidRPr="00624C21">
        <w:rPr>
          <w:sz w:val="24"/>
        </w:rPr>
        <w:t>a uma distância de uma placa de Titânio de 10 cm² (dez centímetro</w:t>
      </w:r>
      <w:r w:rsidR="00C90423">
        <w:rPr>
          <w:sz w:val="24"/>
        </w:rPr>
        <w:t>s</w:t>
      </w:r>
      <w:r w:rsidRPr="00624C21">
        <w:rPr>
          <w:sz w:val="24"/>
        </w:rPr>
        <w:t xml:space="preserve"> quadrado) e espessura desprezível. Ambas as peças são presas por hastes do mesmo material e ligados na fonte de energia.</w:t>
      </w:r>
    </w:p>
    <w:p w:rsidR="00624C21" w:rsidRDefault="00624C21" w:rsidP="00624C21">
      <w:pPr>
        <w:autoSpaceDE/>
        <w:autoSpaceDN/>
        <w:ind w:firstLine="567"/>
        <w:rPr>
          <w:sz w:val="24"/>
        </w:rPr>
      </w:pPr>
      <w:r w:rsidRPr="00624C21">
        <w:rPr>
          <w:sz w:val="24"/>
        </w:rPr>
        <w:t>Para o estudo foram variados três parâmetros: a corrente elétrica, a distância entre cátodo e ânodo e o tempo do experimento exposto a corrente elétrica.</w:t>
      </w:r>
      <w:r w:rsidR="006D0A0F">
        <w:rPr>
          <w:sz w:val="24"/>
        </w:rPr>
        <w:t xml:space="preserve"> Mostrados na Tabela 1.</w:t>
      </w:r>
    </w:p>
    <w:p w:rsidR="006D0A0F" w:rsidRDefault="006D0A0F" w:rsidP="006D0A0F">
      <w:pPr>
        <w:autoSpaceDE/>
        <w:autoSpaceDN/>
        <w:ind w:firstLine="567"/>
        <w:jc w:val="center"/>
      </w:pPr>
      <w:r w:rsidRPr="006D0A0F">
        <w:rPr>
          <w:b/>
        </w:rPr>
        <w:t>Tabela 1</w:t>
      </w:r>
      <w:r w:rsidRPr="006D0A0F">
        <w:t xml:space="preserve"> –</w:t>
      </w:r>
      <w:r>
        <w:t xml:space="preserve"> Variação de parâmetros</w:t>
      </w:r>
    </w:p>
    <w:tbl>
      <w:tblPr>
        <w:tblStyle w:val="Tabelacomgrade"/>
        <w:tblW w:w="0" w:type="auto"/>
        <w:jc w:val="center"/>
        <w:tblInd w:w="809" w:type="dxa"/>
        <w:tblLook w:val="04A0" w:firstRow="1" w:lastRow="0" w:firstColumn="1" w:lastColumn="0" w:noHBand="0" w:noVBand="1"/>
      </w:tblPr>
      <w:tblGrid>
        <w:gridCol w:w="1317"/>
        <w:gridCol w:w="1206"/>
        <w:gridCol w:w="1728"/>
      </w:tblGrid>
      <w:tr w:rsidR="006D0A0F" w:rsidTr="006D0A0F">
        <w:trPr>
          <w:jc w:val="center"/>
        </w:trPr>
        <w:tc>
          <w:tcPr>
            <w:tcW w:w="0" w:type="auto"/>
          </w:tcPr>
          <w:p w:rsidR="006D0A0F" w:rsidRDefault="006D0A0F" w:rsidP="006D0A0F">
            <w:pPr>
              <w:autoSpaceDE/>
              <w:autoSpaceDN/>
              <w:jc w:val="center"/>
            </w:pPr>
            <w:r>
              <w:t>Corrente (A)</w:t>
            </w:r>
          </w:p>
        </w:tc>
        <w:tc>
          <w:tcPr>
            <w:tcW w:w="0" w:type="auto"/>
          </w:tcPr>
          <w:p w:rsidR="006D0A0F" w:rsidRDefault="006D0A0F" w:rsidP="006D0A0F">
            <w:pPr>
              <w:autoSpaceDE/>
              <w:autoSpaceDN/>
              <w:jc w:val="center"/>
            </w:pPr>
            <w:r>
              <w:t>Tensão (V)</w:t>
            </w:r>
          </w:p>
        </w:tc>
        <w:tc>
          <w:tcPr>
            <w:tcW w:w="0" w:type="auto"/>
          </w:tcPr>
          <w:p w:rsidR="006D0A0F" w:rsidRDefault="006D0A0F" w:rsidP="006D0A0F">
            <w:pPr>
              <w:autoSpaceDE/>
              <w:autoSpaceDN/>
              <w:jc w:val="center"/>
            </w:pPr>
            <w:r>
              <w:t>Tempo (minutos)</w:t>
            </w:r>
          </w:p>
        </w:tc>
      </w:tr>
      <w:tr w:rsidR="006D0A0F" w:rsidTr="006D0A0F">
        <w:trPr>
          <w:jc w:val="center"/>
        </w:trPr>
        <w:tc>
          <w:tcPr>
            <w:tcW w:w="0" w:type="auto"/>
          </w:tcPr>
          <w:p w:rsidR="006D0A0F" w:rsidRDefault="006D0A0F" w:rsidP="006D0A0F">
            <w:pPr>
              <w:autoSpaceDE/>
              <w:autoSpaceDN/>
              <w:jc w:val="center"/>
            </w:pPr>
            <w:proofErr w:type="gramStart"/>
            <w:r>
              <w:t>1</w:t>
            </w:r>
            <w:proofErr w:type="gramEnd"/>
          </w:p>
        </w:tc>
        <w:tc>
          <w:tcPr>
            <w:tcW w:w="0" w:type="auto"/>
          </w:tcPr>
          <w:p w:rsidR="006D0A0F" w:rsidRDefault="006D0A0F" w:rsidP="006D0A0F">
            <w:pPr>
              <w:autoSpaceDE/>
              <w:autoSpaceDN/>
              <w:jc w:val="center"/>
            </w:pPr>
            <w:r>
              <w:t>300</w:t>
            </w:r>
          </w:p>
        </w:tc>
        <w:tc>
          <w:tcPr>
            <w:tcW w:w="0" w:type="auto"/>
          </w:tcPr>
          <w:p w:rsidR="006D0A0F" w:rsidRDefault="006D0A0F" w:rsidP="006D0A0F">
            <w:pPr>
              <w:autoSpaceDE/>
              <w:autoSpaceDN/>
              <w:jc w:val="center"/>
            </w:pPr>
            <w:r>
              <w:t>10</w:t>
            </w:r>
          </w:p>
        </w:tc>
      </w:tr>
      <w:tr w:rsidR="006D0A0F" w:rsidTr="006D0A0F">
        <w:trPr>
          <w:jc w:val="center"/>
        </w:trPr>
        <w:tc>
          <w:tcPr>
            <w:tcW w:w="0" w:type="auto"/>
          </w:tcPr>
          <w:p w:rsidR="006D0A0F" w:rsidRDefault="006D0A0F" w:rsidP="006D0A0F">
            <w:pPr>
              <w:autoSpaceDE/>
              <w:autoSpaceDN/>
              <w:jc w:val="center"/>
            </w:pPr>
            <w:r>
              <w:t>1,5</w:t>
            </w:r>
          </w:p>
        </w:tc>
        <w:tc>
          <w:tcPr>
            <w:tcW w:w="0" w:type="auto"/>
          </w:tcPr>
          <w:p w:rsidR="006D0A0F" w:rsidRDefault="006D0A0F" w:rsidP="006D0A0F">
            <w:pPr>
              <w:autoSpaceDE/>
              <w:autoSpaceDN/>
              <w:jc w:val="center"/>
            </w:pPr>
            <w:r>
              <w:t>400</w:t>
            </w:r>
          </w:p>
        </w:tc>
        <w:tc>
          <w:tcPr>
            <w:tcW w:w="0" w:type="auto"/>
          </w:tcPr>
          <w:p w:rsidR="006D0A0F" w:rsidRDefault="006D0A0F" w:rsidP="006D0A0F">
            <w:pPr>
              <w:autoSpaceDE/>
              <w:autoSpaceDN/>
              <w:jc w:val="center"/>
            </w:pPr>
            <w:r>
              <w:t>15</w:t>
            </w:r>
          </w:p>
        </w:tc>
      </w:tr>
      <w:tr w:rsidR="006D0A0F" w:rsidTr="006D0A0F">
        <w:trPr>
          <w:jc w:val="center"/>
        </w:trPr>
        <w:tc>
          <w:tcPr>
            <w:tcW w:w="0" w:type="auto"/>
          </w:tcPr>
          <w:p w:rsidR="006D0A0F" w:rsidRDefault="006D0A0F" w:rsidP="006D0A0F">
            <w:pPr>
              <w:autoSpaceDE/>
              <w:autoSpaceDN/>
              <w:jc w:val="center"/>
            </w:pPr>
            <w:proofErr w:type="gramStart"/>
            <w:r>
              <w:t>2</w:t>
            </w:r>
            <w:proofErr w:type="gramEnd"/>
          </w:p>
        </w:tc>
        <w:tc>
          <w:tcPr>
            <w:tcW w:w="0" w:type="auto"/>
          </w:tcPr>
          <w:p w:rsidR="006D0A0F" w:rsidRDefault="006D0A0F" w:rsidP="006D0A0F">
            <w:pPr>
              <w:autoSpaceDE/>
              <w:autoSpaceDN/>
              <w:jc w:val="center"/>
            </w:pPr>
            <w:r>
              <w:t>500</w:t>
            </w:r>
          </w:p>
        </w:tc>
        <w:tc>
          <w:tcPr>
            <w:tcW w:w="0" w:type="auto"/>
          </w:tcPr>
          <w:p w:rsidR="006D0A0F" w:rsidRDefault="006D0A0F" w:rsidP="006D0A0F">
            <w:pPr>
              <w:autoSpaceDE/>
              <w:autoSpaceDN/>
              <w:jc w:val="center"/>
            </w:pPr>
            <w:r>
              <w:t>20</w:t>
            </w:r>
          </w:p>
        </w:tc>
      </w:tr>
    </w:tbl>
    <w:p w:rsidR="006D0A0F" w:rsidRPr="006D0A0F" w:rsidRDefault="006D0A0F" w:rsidP="006D0A0F">
      <w:pPr>
        <w:autoSpaceDE/>
        <w:autoSpaceDN/>
        <w:ind w:firstLine="567"/>
        <w:jc w:val="center"/>
      </w:pPr>
      <w:r>
        <w:rPr>
          <w:b/>
        </w:rPr>
        <w:t>Fonte:</w:t>
      </w:r>
      <w:r>
        <w:t xml:space="preserve"> Autor</w:t>
      </w:r>
      <w:r w:rsidR="00687DEA">
        <w:t xml:space="preserve"> (2019)</w:t>
      </w:r>
    </w:p>
    <w:p w:rsidR="00624C21" w:rsidRDefault="00624C21" w:rsidP="00624C21">
      <w:pPr>
        <w:rPr>
          <w:sz w:val="24"/>
        </w:rPr>
      </w:pPr>
    </w:p>
    <w:p w:rsidR="006D0A0F" w:rsidRDefault="00F16B3A" w:rsidP="006D0A0F">
      <w:pPr>
        <w:pStyle w:val="Seo"/>
        <w:numPr>
          <w:ilvl w:val="0"/>
          <w:numId w:val="0"/>
        </w:numPr>
        <w:ind w:left="786"/>
      </w:pPr>
      <w:r>
        <w:t>2.1 Análises</w:t>
      </w:r>
      <w:r w:rsidR="006D0A0F">
        <w:t xml:space="preserve"> de Dados</w:t>
      </w:r>
    </w:p>
    <w:p w:rsidR="006D0A0F" w:rsidRDefault="00726489" w:rsidP="00F16B3A">
      <w:pPr>
        <w:pStyle w:val="SemEspaamento"/>
      </w:pPr>
      <w:r>
        <w:t xml:space="preserve">A análise morfológica as superfície das amostras foram realizadas </w:t>
      </w:r>
      <w:r w:rsidR="005E5B9C">
        <w:t xml:space="preserve">uma </w:t>
      </w:r>
      <w:r w:rsidR="005E5B9C" w:rsidRPr="005E5B9C">
        <w:t>Microscopia Eletrônica de Alta Resolução</w:t>
      </w:r>
      <w:r w:rsidR="005E5B9C">
        <w:t xml:space="preserve"> </w:t>
      </w:r>
      <w:r>
        <w:t xml:space="preserve">no equipamento MIRA3 – TESCAN </w:t>
      </w:r>
      <w:r w:rsidR="00770083">
        <w:t>no LAS (Laboratório Associado de Sensores e Materiais)</w:t>
      </w:r>
      <w:r>
        <w:t xml:space="preserve"> no INPE</w:t>
      </w:r>
      <w:r w:rsidR="00770083">
        <w:t xml:space="preserve"> (Instituto Nacional de Pesquisas Espaciais)</w:t>
      </w:r>
      <w:r>
        <w:t xml:space="preserve"> de São José dos Campos. Por meio dessa análise morfológica podemos estudar a semelhança do resultado obtido na superfície da amostra após o tratamento com plasma eletrolítico </w:t>
      </w:r>
      <w:r w:rsidR="00770083">
        <w:t>com estruturas ósseas e também a morfologia de uma peça de prótese com o tratamento de superfície mais comumente utilizado hoje em dia.</w:t>
      </w:r>
    </w:p>
    <w:p w:rsidR="00595BFD" w:rsidRPr="005E5B9C" w:rsidRDefault="00335E57" w:rsidP="00F16B3A">
      <w:pPr>
        <w:pStyle w:val="SemEspaamento"/>
      </w:pPr>
      <w:r>
        <w:t xml:space="preserve">Para um estudo de composição da superfície obtida após o recobrimento a plasma </w:t>
      </w:r>
      <w:r w:rsidR="005E5B9C">
        <w:t xml:space="preserve">foi utilizada uma </w:t>
      </w:r>
      <w:r w:rsidR="005E5B9C" w:rsidRPr="005E5B9C">
        <w:t>Espectroscopia de raios X por dispersão em energia</w:t>
      </w:r>
      <w:r w:rsidR="005E5B9C" w:rsidRPr="005E5B9C">
        <w:t xml:space="preserve"> (EDS)</w:t>
      </w:r>
      <w:r w:rsidR="005E5B9C">
        <w:t xml:space="preserve"> </w:t>
      </w:r>
      <w:r w:rsidR="00432E4B">
        <w:t>e para isso utilizamos o equipamento</w:t>
      </w:r>
    </w:p>
    <w:p w:rsidR="00F16B3A" w:rsidRDefault="00F16B3A" w:rsidP="00F16B3A">
      <w:pPr>
        <w:pStyle w:val="SemEspaamento"/>
      </w:pPr>
    </w:p>
    <w:p w:rsidR="00F16B3A" w:rsidRDefault="00F16B3A" w:rsidP="00F16B3A">
      <w:pPr>
        <w:pStyle w:val="SemEspaamento"/>
      </w:pPr>
    </w:p>
    <w:p w:rsidR="00730D8C" w:rsidRPr="006D0A0F" w:rsidRDefault="00730D8C" w:rsidP="00F16B3A">
      <w:pPr>
        <w:pStyle w:val="SemEspaamento"/>
      </w:pPr>
    </w:p>
    <w:p w:rsidR="009C7E5B" w:rsidRDefault="009C7E5B" w:rsidP="009C7E5B">
      <w:pPr>
        <w:pStyle w:val="Seo"/>
      </w:pPr>
      <w:r>
        <w:t>RESULTADOS E DISCUSSÃO</w:t>
      </w:r>
    </w:p>
    <w:p w:rsidR="00730D8C" w:rsidRDefault="005F4389" w:rsidP="00730D8C">
      <w:pPr>
        <w:pStyle w:val="SemEspaamento"/>
      </w:pPr>
      <w:r>
        <w:t>Foi estudada primeiramente a morfologia da superfície da amostra tratada por plasma</w:t>
      </w:r>
      <w:r w:rsidR="00730D8C">
        <w:t>.</w:t>
      </w:r>
    </w:p>
    <w:p w:rsidR="00484B0D" w:rsidRDefault="00484B0D" w:rsidP="00730D8C">
      <w:pPr>
        <w:pStyle w:val="SemEspaamento"/>
      </w:pPr>
    </w:p>
    <w:p w:rsidR="00027C7A" w:rsidRPr="00027C7A" w:rsidRDefault="00027C7A" w:rsidP="00027C7A">
      <w:pPr>
        <w:pStyle w:val="SemEspaamento"/>
        <w:jc w:val="center"/>
        <w:rPr>
          <w:sz w:val="20"/>
        </w:rPr>
      </w:pPr>
      <w:r>
        <w:rPr>
          <w:b/>
          <w:sz w:val="20"/>
        </w:rPr>
        <w:t>Figura 5</w:t>
      </w:r>
      <w:r>
        <w:rPr>
          <w:sz w:val="20"/>
        </w:rPr>
        <w:t xml:space="preserve"> – </w:t>
      </w:r>
      <w:r w:rsidR="004545AA">
        <w:rPr>
          <w:sz w:val="20"/>
        </w:rPr>
        <w:t>Comparação de s</w:t>
      </w:r>
      <w:r>
        <w:rPr>
          <w:sz w:val="20"/>
        </w:rPr>
        <w:t>uperfície</w:t>
      </w:r>
      <w:r w:rsidR="004545AA">
        <w:rPr>
          <w:sz w:val="20"/>
        </w:rPr>
        <w:t>s</w:t>
      </w:r>
      <w:r>
        <w:rPr>
          <w:sz w:val="20"/>
        </w:rPr>
        <w:t xml:space="preserve"> da amostra </w:t>
      </w:r>
      <w:r w:rsidR="004545AA">
        <w:rPr>
          <w:sz w:val="20"/>
        </w:rPr>
        <w:t>com tratamento a plasma (di</w:t>
      </w:r>
      <w:r>
        <w:rPr>
          <w:sz w:val="20"/>
        </w:rPr>
        <w:t>reita)</w:t>
      </w:r>
      <w:r w:rsidR="004545AA">
        <w:rPr>
          <w:sz w:val="20"/>
        </w:rPr>
        <w:t xml:space="preserve"> amostra por tratamento químico (esquerda)</w:t>
      </w:r>
    </w:p>
    <w:p w:rsidR="00730D8C" w:rsidRDefault="0003054B" w:rsidP="00730D8C">
      <w:pPr>
        <w:pStyle w:val="SemEspaamento"/>
      </w:pPr>
      <w:r>
        <w:rPr>
          <w:noProof/>
        </w:rPr>
        <w:drawing>
          <wp:inline distT="0" distB="0" distL="0" distR="0">
            <wp:extent cx="2370222" cy="264795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LASMA-6-20KX-B.tif"/>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374605" cy="2652846"/>
                    </a:xfrm>
                    <a:prstGeom prst="rect">
                      <a:avLst/>
                    </a:prstGeom>
                  </pic:spPr>
                </pic:pic>
              </a:graphicData>
            </a:graphic>
          </wp:inline>
        </w:drawing>
      </w:r>
      <w:r w:rsidR="004545AA">
        <w:t xml:space="preserve"> </w:t>
      </w:r>
      <w:r w:rsidR="004545AA">
        <w:rPr>
          <w:noProof/>
        </w:rPr>
        <w:drawing>
          <wp:inline distT="0" distB="0" distL="0" distR="0" wp14:anchorId="5EF3FEB0" wp14:editId="00F54486">
            <wp:extent cx="2857500" cy="2650848"/>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57500" cy="2650848"/>
                    </a:xfrm>
                    <a:prstGeom prst="rect">
                      <a:avLst/>
                    </a:prstGeom>
                  </pic:spPr>
                </pic:pic>
              </a:graphicData>
            </a:graphic>
          </wp:inline>
        </w:drawing>
      </w:r>
    </w:p>
    <w:p w:rsidR="004545AA" w:rsidRPr="004545AA" w:rsidRDefault="004545AA" w:rsidP="004545AA">
      <w:pPr>
        <w:pStyle w:val="SemEspaamento"/>
        <w:jc w:val="center"/>
        <w:rPr>
          <w:sz w:val="20"/>
        </w:rPr>
      </w:pPr>
      <w:r>
        <w:rPr>
          <w:b/>
          <w:sz w:val="20"/>
        </w:rPr>
        <w:t>Fonte:</w:t>
      </w:r>
      <w:r>
        <w:rPr>
          <w:sz w:val="20"/>
        </w:rPr>
        <w:t xml:space="preserve"> Autor </w:t>
      </w:r>
      <w:r w:rsidR="00687DEA">
        <w:rPr>
          <w:sz w:val="20"/>
        </w:rPr>
        <w:t xml:space="preserve">(2019) </w:t>
      </w:r>
      <w:r>
        <w:rPr>
          <w:sz w:val="20"/>
        </w:rPr>
        <w:t xml:space="preserve">e </w:t>
      </w:r>
      <w:proofErr w:type="gramStart"/>
      <w:r>
        <w:rPr>
          <w:sz w:val="20"/>
        </w:rPr>
        <w:t>VALENTE</w:t>
      </w:r>
      <w:r w:rsidR="00687DEA">
        <w:rPr>
          <w:sz w:val="20"/>
        </w:rPr>
        <w:t>(</w:t>
      </w:r>
      <w:proofErr w:type="gramEnd"/>
      <w:r>
        <w:rPr>
          <w:sz w:val="20"/>
        </w:rPr>
        <w:t>2018</w:t>
      </w:r>
      <w:r w:rsidR="00687DEA">
        <w:rPr>
          <w:sz w:val="20"/>
        </w:rPr>
        <w:t>)</w:t>
      </w:r>
    </w:p>
    <w:p w:rsidR="00730D8C" w:rsidRDefault="00730D8C" w:rsidP="00730D8C">
      <w:pPr>
        <w:pStyle w:val="Seo"/>
        <w:numPr>
          <w:ilvl w:val="0"/>
          <w:numId w:val="0"/>
        </w:numPr>
        <w:ind w:left="786"/>
      </w:pPr>
    </w:p>
    <w:p w:rsidR="00464478" w:rsidRDefault="00484B0D" w:rsidP="00590083">
      <w:pPr>
        <w:pStyle w:val="SemEspaamento"/>
      </w:pPr>
      <w:r>
        <w:t>Com a mesma escala podemos comparar a morfologia entre as imagens. Ambas possuem claras r</w:t>
      </w:r>
      <w:r w:rsidR="00464478">
        <w:t>ugosidades, porém</w:t>
      </w:r>
      <w:r>
        <w:t xml:space="preserve"> a amostra tratada a plasma demonstra cavidades mais complexas com profundidades mais variadas que ajuda na </w:t>
      </w:r>
      <w:r w:rsidR="00CB31CB">
        <w:t>adaptação mecânica.</w:t>
      </w:r>
    </w:p>
    <w:p w:rsidR="00464478" w:rsidRDefault="00464478" w:rsidP="00730D8C">
      <w:pPr>
        <w:pStyle w:val="Seo"/>
        <w:numPr>
          <w:ilvl w:val="0"/>
          <w:numId w:val="0"/>
        </w:numPr>
        <w:ind w:left="786"/>
        <w:rPr>
          <w:b w:val="0"/>
        </w:rPr>
      </w:pPr>
    </w:p>
    <w:p w:rsidR="00464478" w:rsidRDefault="00464478" w:rsidP="00464478">
      <w:pPr>
        <w:pStyle w:val="Seo"/>
        <w:numPr>
          <w:ilvl w:val="0"/>
          <w:numId w:val="0"/>
        </w:numPr>
        <w:ind w:left="2832"/>
        <w:rPr>
          <w:b w:val="0"/>
          <w:sz w:val="20"/>
        </w:rPr>
      </w:pPr>
      <w:r w:rsidRPr="00464478">
        <w:rPr>
          <w:b w:val="0"/>
          <w:sz w:val="20"/>
        </w:rPr>
        <w:t>Por outro lado, o desen</w:t>
      </w:r>
      <w:r w:rsidRPr="00464478">
        <w:rPr>
          <w:b w:val="0"/>
          <w:sz w:val="20"/>
        </w:rPr>
        <w:t xml:space="preserve">volvimento de uma microestrutura </w:t>
      </w:r>
      <w:r w:rsidRPr="00464478">
        <w:rPr>
          <w:b w:val="0"/>
          <w:sz w:val="20"/>
        </w:rPr>
        <w:t>composta por uma rede tridimensional de poros em toda a sua espessura,</w:t>
      </w:r>
      <w:r w:rsidRPr="00464478">
        <w:rPr>
          <w:b w:val="0"/>
          <w:sz w:val="20"/>
        </w:rPr>
        <w:t xml:space="preserve"> </w:t>
      </w:r>
      <w:r w:rsidRPr="00464478">
        <w:rPr>
          <w:b w:val="0"/>
          <w:sz w:val="20"/>
        </w:rPr>
        <w:t>vem sendo interesse de</w:t>
      </w:r>
      <w:r w:rsidRPr="00464478">
        <w:rPr>
          <w:b w:val="0"/>
          <w:sz w:val="20"/>
        </w:rPr>
        <w:t xml:space="preserve"> uma série de pesquisas</w:t>
      </w:r>
      <w:r w:rsidRPr="00464478">
        <w:rPr>
          <w:b w:val="0"/>
          <w:sz w:val="20"/>
        </w:rPr>
        <w:t>. Os poros e suas</w:t>
      </w:r>
      <w:r w:rsidRPr="00464478">
        <w:rPr>
          <w:b w:val="0"/>
          <w:sz w:val="20"/>
        </w:rPr>
        <w:t xml:space="preserve"> </w:t>
      </w:r>
      <w:r w:rsidRPr="00464478">
        <w:rPr>
          <w:b w:val="0"/>
          <w:sz w:val="20"/>
        </w:rPr>
        <w:t>interconexões tridimensionais proporcionam uma via de acesso para o</w:t>
      </w:r>
      <w:r w:rsidRPr="00464478">
        <w:rPr>
          <w:b w:val="0"/>
          <w:sz w:val="20"/>
        </w:rPr>
        <w:t xml:space="preserve"> </w:t>
      </w:r>
      <w:r w:rsidRPr="00464478">
        <w:rPr>
          <w:b w:val="0"/>
          <w:sz w:val="20"/>
        </w:rPr>
        <w:t>crescimento ósseo, c</w:t>
      </w:r>
      <w:r w:rsidRPr="00464478">
        <w:rPr>
          <w:b w:val="0"/>
          <w:sz w:val="20"/>
        </w:rPr>
        <w:t xml:space="preserve">onhecido como </w:t>
      </w:r>
      <w:proofErr w:type="spellStart"/>
      <w:r w:rsidRPr="00464478">
        <w:rPr>
          <w:b w:val="0"/>
          <w:i/>
          <w:sz w:val="20"/>
        </w:rPr>
        <w:t>bone</w:t>
      </w:r>
      <w:proofErr w:type="spellEnd"/>
      <w:r w:rsidRPr="00464478">
        <w:rPr>
          <w:b w:val="0"/>
          <w:i/>
          <w:sz w:val="20"/>
        </w:rPr>
        <w:t xml:space="preserve"> </w:t>
      </w:r>
      <w:proofErr w:type="spellStart"/>
      <w:r w:rsidRPr="00464478">
        <w:rPr>
          <w:b w:val="0"/>
          <w:i/>
          <w:sz w:val="20"/>
        </w:rPr>
        <w:t>ingrowth</w:t>
      </w:r>
      <w:proofErr w:type="spellEnd"/>
      <w:r w:rsidRPr="00464478">
        <w:rPr>
          <w:b w:val="0"/>
          <w:sz w:val="20"/>
        </w:rPr>
        <w:t>, melhorando o</w:t>
      </w:r>
      <w:r w:rsidRPr="00464478">
        <w:rPr>
          <w:b w:val="0"/>
          <w:sz w:val="20"/>
        </w:rPr>
        <w:t xml:space="preserve"> </w:t>
      </w:r>
      <w:proofErr w:type="spellStart"/>
      <w:r w:rsidRPr="00464478">
        <w:rPr>
          <w:b w:val="0"/>
          <w:sz w:val="20"/>
        </w:rPr>
        <w:t>imbricamento</w:t>
      </w:r>
      <w:proofErr w:type="spellEnd"/>
      <w:r w:rsidRPr="00464478">
        <w:rPr>
          <w:b w:val="0"/>
          <w:sz w:val="20"/>
        </w:rPr>
        <w:t xml:space="preserve"> mecânico, a </w:t>
      </w:r>
      <w:proofErr w:type="spellStart"/>
      <w:r w:rsidRPr="00464478">
        <w:rPr>
          <w:b w:val="0"/>
          <w:sz w:val="20"/>
        </w:rPr>
        <w:t>interdigitação</w:t>
      </w:r>
      <w:proofErr w:type="spellEnd"/>
      <w:r w:rsidRPr="00464478">
        <w:rPr>
          <w:b w:val="0"/>
          <w:sz w:val="20"/>
        </w:rPr>
        <w:t xml:space="preserve"> do tecido ósseo com o implante e</w:t>
      </w:r>
      <w:r w:rsidRPr="00464478">
        <w:rPr>
          <w:b w:val="0"/>
          <w:sz w:val="20"/>
        </w:rPr>
        <w:t xml:space="preserve"> </w:t>
      </w:r>
      <w:r w:rsidRPr="00464478">
        <w:rPr>
          <w:b w:val="0"/>
          <w:sz w:val="20"/>
        </w:rPr>
        <w:t>ev</w:t>
      </w:r>
      <w:r w:rsidRPr="00464478">
        <w:rPr>
          <w:b w:val="0"/>
          <w:sz w:val="20"/>
        </w:rPr>
        <w:t>itando a sua mobilidade</w:t>
      </w:r>
      <w:r w:rsidRPr="00464478">
        <w:rPr>
          <w:b w:val="0"/>
          <w:sz w:val="20"/>
        </w:rPr>
        <w:t>. O tempo para a fixação mecânica do</w:t>
      </w:r>
      <w:r w:rsidRPr="00464478">
        <w:rPr>
          <w:b w:val="0"/>
          <w:sz w:val="20"/>
        </w:rPr>
        <w:t xml:space="preserve"> </w:t>
      </w:r>
      <w:r w:rsidRPr="00464478">
        <w:rPr>
          <w:b w:val="0"/>
          <w:sz w:val="20"/>
        </w:rPr>
        <w:t>implante neste caso é reduzido, assim como o período de imobilização da</w:t>
      </w:r>
      <w:r w:rsidRPr="00464478">
        <w:rPr>
          <w:b w:val="0"/>
          <w:sz w:val="20"/>
        </w:rPr>
        <w:t xml:space="preserve"> área reabilitada.</w:t>
      </w:r>
      <w:r>
        <w:rPr>
          <w:b w:val="0"/>
          <w:sz w:val="20"/>
        </w:rPr>
        <w:t xml:space="preserve"> (MACHADO, 2008, 24-25)</w:t>
      </w:r>
    </w:p>
    <w:p w:rsidR="00464478" w:rsidRPr="00464478" w:rsidRDefault="00464478" w:rsidP="00464478">
      <w:pPr>
        <w:pStyle w:val="SemEspaamento"/>
      </w:pPr>
    </w:p>
    <w:p w:rsidR="00464478" w:rsidRDefault="00127E90" w:rsidP="00590083">
      <w:pPr>
        <w:pStyle w:val="SemEspaamento"/>
      </w:pPr>
      <w:r>
        <w:t>Essa superfície porosa é capaz de ser usada de suporte para o crescimento ósseo sobre o implante melhorando em todos os aspectos a compatibilidade</w:t>
      </w:r>
      <w:r w:rsidR="00590083">
        <w:t xml:space="preserve"> </w:t>
      </w:r>
      <w:r>
        <w:t>da prótese com o organismo.</w:t>
      </w:r>
    </w:p>
    <w:p w:rsidR="00930828" w:rsidRDefault="00590083" w:rsidP="00590083">
      <w:pPr>
        <w:pStyle w:val="SemEspaamento"/>
      </w:pPr>
      <w:r>
        <w:t>Um estudo comparativo também pode ser realizado com a composição da superfície da amostra. Por meio de EDS obtivemos um gráfico que demostra a seguinte composição:</w:t>
      </w:r>
    </w:p>
    <w:p w:rsidR="00930828" w:rsidRDefault="00930828" w:rsidP="00590083">
      <w:pPr>
        <w:pStyle w:val="SemEspaamento"/>
      </w:pPr>
    </w:p>
    <w:p w:rsidR="00930828" w:rsidRDefault="00930828" w:rsidP="00590083">
      <w:pPr>
        <w:pStyle w:val="SemEspaamento"/>
      </w:pPr>
    </w:p>
    <w:p w:rsidR="00930828" w:rsidRPr="00930828" w:rsidRDefault="00930828" w:rsidP="00930828">
      <w:pPr>
        <w:pStyle w:val="SemEspaamento"/>
        <w:jc w:val="center"/>
        <w:rPr>
          <w:sz w:val="20"/>
        </w:rPr>
      </w:pPr>
      <w:r w:rsidRPr="00930828">
        <w:rPr>
          <w:b/>
          <w:sz w:val="20"/>
        </w:rPr>
        <w:t>Figura 6</w:t>
      </w:r>
      <w:r w:rsidRPr="00930828">
        <w:rPr>
          <w:sz w:val="20"/>
        </w:rPr>
        <w:t xml:space="preserve"> </w:t>
      </w:r>
      <w:r>
        <w:rPr>
          <w:sz w:val="20"/>
        </w:rPr>
        <w:t>–</w:t>
      </w:r>
      <w:r w:rsidRPr="00930828">
        <w:rPr>
          <w:sz w:val="20"/>
        </w:rPr>
        <w:t xml:space="preserve"> </w:t>
      </w:r>
      <w:r>
        <w:rPr>
          <w:sz w:val="20"/>
        </w:rPr>
        <w:t>Composição da amostra (EDS)</w:t>
      </w:r>
    </w:p>
    <w:p w:rsidR="00590083" w:rsidRDefault="00930828" w:rsidP="00930828">
      <w:pPr>
        <w:pStyle w:val="SemEspaamento"/>
        <w:jc w:val="center"/>
        <w:rPr>
          <w:sz w:val="20"/>
        </w:rPr>
      </w:pPr>
      <w:r>
        <w:rPr>
          <w:noProof/>
        </w:rPr>
        <w:drawing>
          <wp:inline distT="0" distB="0" distL="0" distR="0" wp14:anchorId="152D1BBE" wp14:editId="7E8DFDAB">
            <wp:extent cx="5403893" cy="3476625"/>
            <wp:effectExtent l="0" t="0" r="635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403893" cy="3476625"/>
                    </a:xfrm>
                    <a:prstGeom prst="rect">
                      <a:avLst/>
                    </a:prstGeom>
                    <a:noFill/>
                    <a:ln w="9525">
                      <a:noFill/>
                      <a:miter lim="800000"/>
                      <a:headEnd/>
                      <a:tailEnd/>
                    </a:ln>
                  </pic:spPr>
                </pic:pic>
              </a:graphicData>
            </a:graphic>
          </wp:inline>
        </w:drawing>
      </w:r>
      <w:r>
        <w:rPr>
          <w:b/>
          <w:sz w:val="20"/>
        </w:rPr>
        <w:t>Fonte:</w:t>
      </w:r>
      <w:r>
        <w:rPr>
          <w:sz w:val="20"/>
        </w:rPr>
        <w:t xml:space="preserve"> Autor</w:t>
      </w:r>
      <w:r w:rsidR="00687DEA">
        <w:rPr>
          <w:sz w:val="20"/>
        </w:rPr>
        <w:t xml:space="preserve"> (2019)</w:t>
      </w:r>
    </w:p>
    <w:p w:rsidR="00D7297D" w:rsidRDefault="00D7297D" w:rsidP="00930828">
      <w:pPr>
        <w:pStyle w:val="SemEspaamento"/>
        <w:jc w:val="center"/>
        <w:rPr>
          <w:sz w:val="20"/>
        </w:rPr>
      </w:pPr>
    </w:p>
    <w:p w:rsidR="00930828" w:rsidRDefault="00930828" w:rsidP="00930828">
      <w:pPr>
        <w:pStyle w:val="SemEspaamento"/>
      </w:pPr>
      <w:r>
        <w:t xml:space="preserve">A predominância de oxigênio e titânio </w:t>
      </w:r>
      <w:r w:rsidR="001712F9">
        <w:t>na superfície da amostra</w:t>
      </w:r>
      <w:r>
        <w:t xml:space="preserve"> era prevista já que toda a superfície, anteriormente constituída de titânio puro, foi oxidada </w:t>
      </w:r>
      <w:r w:rsidR="00A817A3">
        <w:t>em toda sua extensão</w:t>
      </w:r>
      <w:r w:rsidR="001712F9">
        <w:t xml:space="preserve"> formando assim o óxido de titânio (</w:t>
      </w:r>
      <w:proofErr w:type="gramStart"/>
      <w:r w:rsidR="001712F9">
        <w:t>TiO</w:t>
      </w:r>
      <w:r w:rsidR="001712F9">
        <w:rPr>
          <w:vertAlign w:val="subscript"/>
        </w:rPr>
        <w:t>2</w:t>
      </w:r>
      <w:proofErr w:type="gramEnd"/>
      <w:r w:rsidR="001712F9">
        <w:t>)</w:t>
      </w:r>
      <w:r w:rsidR="00A817A3">
        <w:t>.</w:t>
      </w:r>
      <w:r w:rsidR="001712F9">
        <w:t xml:space="preserve"> Nota-se a presença de um alto teor de carbono que foi retirado da solução de glicerol e, por meio do plasma na superfície do material, fixou-se entre as camadas de óxido de titânio.</w:t>
      </w:r>
    </w:p>
    <w:p w:rsidR="00687DEA" w:rsidRDefault="003B42ED" w:rsidP="00687DEA">
      <w:pPr>
        <w:pStyle w:val="SemEspaamento"/>
      </w:pPr>
      <w:r>
        <w:t>Podemos também observar a composição por mapa da composição da superfície.</w:t>
      </w:r>
    </w:p>
    <w:p w:rsidR="003B42ED" w:rsidRDefault="003B42ED" w:rsidP="003B42ED">
      <w:pPr>
        <w:pStyle w:val="SemEspaamento"/>
        <w:jc w:val="center"/>
        <w:rPr>
          <w:sz w:val="20"/>
        </w:rPr>
      </w:pPr>
      <w:r>
        <w:rPr>
          <w:b/>
          <w:sz w:val="20"/>
        </w:rPr>
        <w:t>Figura 7</w:t>
      </w:r>
      <w:r>
        <w:rPr>
          <w:sz w:val="20"/>
        </w:rPr>
        <w:t xml:space="preserve"> – Superfície da amostra</w:t>
      </w:r>
    </w:p>
    <w:p w:rsidR="003B42ED" w:rsidRDefault="003B42ED" w:rsidP="003B42ED">
      <w:pPr>
        <w:pStyle w:val="SemEspaamento"/>
        <w:jc w:val="center"/>
        <w:rPr>
          <w:sz w:val="20"/>
        </w:rPr>
      </w:pPr>
      <w:r>
        <w:rPr>
          <w:noProof/>
        </w:rPr>
        <w:drawing>
          <wp:inline distT="0" distB="0" distL="0" distR="0" wp14:anchorId="51FC9E18" wp14:editId="6349D0C3">
            <wp:extent cx="2038350" cy="2112612"/>
            <wp:effectExtent l="0" t="0" r="0" b="254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srcRect l="18367" t="5464" r="18367"/>
                    <a:stretch/>
                  </pic:blipFill>
                  <pic:spPr bwMode="auto">
                    <a:xfrm>
                      <a:off x="0" y="0"/>
                      <a:ext cx="2044517" cy="2119003"/>
                    </a:xfrm>
                    <a:prstGeom prst="rect">
                      <a:avLst/>
                    </a:prstGeom>
                    <a:noFill/>
                    <a:ln>
                      <a:noFill/>
                    </a:ln>
                    <a:extLst>
                      <a:ext uri="{53640926-AAD7-44D8-BBD7-CCE9431645EC}">
                        <a14:shadowObscured xmlns:a14="http://schemas.microsoft.com/office/drawing/2010/main"/>
                      </a:ext>
                    </a:extLst>
                  </pic:spPr>
                </pic:pic>
              </a:graphicData>
            </a:graphic>
          </wp:inline>
        </w:drawing>
      </w:r>
    </w:p>
    <w:p w:rsidR="003B42ED" w:rsidRDefault="003B42ED" w:rsidP="003B42ED">
      <w:pPr>
        <w:pStyle w:val="SemEspaamento"/>
        <w:jc w:val="center"/>
        <w:rPr>
          <w:sz w:val="20"/>
        </w:rPr>
      </w:pPr>
      <w:r>
        <w:rPr>
          <w:b/>
          <w:sz w:val="20"/>
        </w:rPr>
        <w:t>Fonte:</w:t>
      </w:r>
      <w:r>
        <w:rPr>
          <w:sz w:val="20"/>
        </w:rPr>
        <w:t xml:space="preserve"> Autor</w:t>
      </w:r>
      <w:r w:rsidR="00687DEA">
        <w:rPr>
          <w:sz w:val="20"/>
        </w:rPr>
        <w:t xml:space="preserve"> (2019)</w:t>
      </w:r>
    </w:p>
    <w:p w:rsidR="003B42ED" w:rsidRPr="003B42ED" w:rsidRDefault="003B42ED" w:rsidP="003B42ED">
      <w:pPr>
        <w:pStyle w:val="SemEspaamento"/>
        <w:jc w:val="center"/>
        <w:rPr>
          <w:sz w:val="20"/>
        </w:rPr>
      </w:pPr>
      <w:r>
        <w:rPr>
          <w:b/>
          <w:sz w:val="20"/>
        </w:rPr>
        <w:lastRenderedPageBreak/>
        <w:t>Figura 8</w:t>
      </w:r>
      <w:r>
        <w:rPr>
          <w:sz w:val="20"/>
        </w:rPr>
        <w:t xml:space="preserve"> – Mapa da superfície da figura 7 colorido especificamente para c</w:t>
      </w:r>
      <w:r w:rsidR="00F2144B">
        <w:rPr>
          <w:sz w:val="20"/>
        </w:rPr>
        <w:t>ada elemento de composição</w:t>
      </w:r>
      <w:r>
        <w:rPr>
          <w:sz w:val="20"/>
        </w:rPr>
        <w:t xml:space="preserve"> </w:t>
      </w:r>
      <w:r w:rsidR="00DF16DD">
        <w:rPr>
          <w:sz w:val="20"/>
        </w:rPr>
        <w:t>Oxigênio (</w:t>
      </w:r>
      <w:r>
        <w:rPr>
          <w:sz w:val="20"/>
        </w:rPr>
        <w:t xml:space="preserve">Azul), </w:t>
      </w:r>
      <w:r w:rsidR="00DF16DD">
        <w:rPr>
          <w:sz w:val="20"/>
        </w:rPr>
        <w:t>Titânio (</w:t>
      </w:r>
      <w:r>
        <w:rPr>
          <w:sz w:val="20"/>
        </w:rPr>
        <w:t xml:space="preserve">Amarelo) e </w:t>
      </w:r>
      <w:r w:rsidR="00DF16DD">
        <w:rPr>
          <w:sz w:val="20"/>
        </w:rPr>
        <w:t>Carbono (</w:t>
      </w:r>
      <w:r>
        <w:rPr>
          <w:sz w:val="20"/>
        </w:rPr>
        <w:t>Laranja</w:t>
      </w:r>
      <w:proofErr w:type="gramStart"/>
      <w:r>
        <w:rPr>
          <w:sz w:val="20"/>
        </w:rPr>
        <w:t>)</w:t>
      </w:r>
      <w:proofErr w:type="gramEnd"/>
    </w:p>
    <w:p w:rsidR="003B42ED" w:rsidRDefault="003B42ED" w:rsidP="00F2144B">
      <w:r>
        <w:rPr>
          <w:noProof/>
        </w:rPr>
        <w:drawing>
          <wp:inline distT="0" distB="0" distL="0" distR="0" wp14:anchorId="03B1693D" wp14:editId="481EE914">
            <wp:extent cx="1914525" cy="2218712"/>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srcRect l="8206" r="8718"/>
                    <a:stretch/>
                  </pic:blipFill>
                  <pic:spPr bwMode="auto">
                    <a:xfrm>
                      <a:off x="0" y="0"/>
                      <a:ext cx="1927799" cy="223409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4E08CA4" wp14:editId="15804A65">
            <wp:extent cx="1885950" cy="2255204"/>
            <wp:effectExtent l="0" t="0" r="0" b="0"/>
            <wp:docPr id="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srcRect l="9744" r="9744"/>
                    <a:stretch/>
                  </pic:blipFill>
                  <pic:spPr bwMode="auto">
                    <a:xfrm>
                      <a:off x="0" y="0"/>
                      <a:ext cx="1900090" cy="227211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5B2BDDC" wp14:editId="652A9176">
            <wp:extent cx="1914525" cy="2268601"/>
            <wp:effectExtent l="0" t="0" r="0" b="0"/>
            <wp:docPr id="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srcRect l="9375" r="9375"/>
                    <a:stretch/>
                  </pic:blipFill>
                  <pic:spPr bwMode="auto">
                    <a:xfrm>
                      <a:off x="0" y="0"/>
                      <a:ext cx="1920311" cy="2275457"/>
                    </a:xfrm>
                    <a:prstGeom prst="rect">
                      <a:avLst/>
                    </a:prstGeom>
                    <a:noFill/>
                    <a:ln>
                      <a:noFill/>
                    </a:ln>
                    <a:extLst>
                      <a:ext uri="{53640926-AAD7-44D8-BBD7-CCE9431645EC}">
                        <a14:shadowObscured xmlns:a14="http://schemas.microsoft.com/office/drawing/2010/main"/>
                      </a:ext>
                    </a:extLst>
                  </pic:spPr>
                </pic:pic>
              </a:graphicData>
            </a:graphic>
          </wp:inline>
        </w:drawing>
      </w:r>
    </w:p>
    <w:p w:rsidR="00DF16DD" w:rsidRDefault="00DF16DD" w:rsidP="003B42ED">
      <w:pPr>
        <w:jc w:val="center"/>
      </w:pPr>
      <w:r>
        <w:rPr>
          <w:b/>
        </w:rPr>
        <w:t>Fonte:</w:t>
      </w:r>
      <w:r>
        <w:t xml:space="preserve"> Autor</w:t>
      </w:r>
      <w:r w:rsidR="00137898">
        <w:t xml:space="preserve"> (2019)</w:t>
      </w:r>
    </w:p>
    <w:p w:rsidR="00DF16DD" w:rsidRDefault="00DF16DD" w:rsidP="00DF16DD">
      <w:pPr>
        <w:pStyle w:val="SemEspaamento"/>
      </w:pPr>
    </w:p>
    <w:p w:rsidR="00DF16DD" w:rsidRDefault="00687DEA" w:rsidP="00DF16DD">
      <w:pPr>
        <w:pStyle w:val="SemEspaamento"/>
      </w:pPr>
      <w:r>
        <w:t>Com essa composição temos uma superfície com menor variação de elementos do que o padrão como podemos observar na figura 9.</w:t>
      </w:r>
    </w:p>
    <w:p w:rsidR="00687DEA" w:rsidRDefault="00687DEA" w:rsidP="00DF16DD">
      <w:pPr>
        <w:pStyle w:val="SemEspaamento"/>
      </w:pPr>
    </w:p>
    <w:p w:rsidR="00687DEA" w:rsidRDefault="00687DEA" w:rsidP="00687DEA">
      <w:pPr>
        <w:pStyle w:val="SemEspaamento"/>
        <w:jc w:val="center"/>
        <w:rPr>
          <w:sz w:val="20"/>
        </w:rPr>
      </w:pPr>
      <w:proofErr w:type="gramStart"/>
      <w:r>
        <w:rPr>
          <w:b/>
          <w:sz w:val="20"/>
        </w:rPr>
        <w:t>Figura 9</w:t>
      </w:r>
      <w:r>
        <w:rPr>
          <w:sz w:val="20"/>
        </w:rPr>
        <w:t xml:space="preserve"> – Gráfico de composição de uma prótese de titânio</w:t>
      </w:r>
      <w:proofErr w:type="gramEnd"/>
      <w:r>
        <w:rPr>
          <w:sz w:val="20"/>
        </w:rPr>
        <w:t xml:space="preserve"> após tratamento químico</w:t>
      </w:r>
    </w:p>
    <w:p w:rsidR="00687DEA" w:rsidRDefault="00687DEA" w:rsidP="00687DEA">
      <w:pPr>
        <w:pStyle w:val="SemEspaamento"/>
        <w:jc w:val="center"/>
        <w:rPr>
          <w:sz w:val="20"/>
        </w:rPr>
      </w:pPr>
      <w:r>
        <w:rPr>
          <w:noProof/>
        </w:rPr>
        <w:drawing>
          <wp:inline distT="0" distB="0" distL="0" distR="0" wp14:anchorId="1D24458F" wp14:editId="0E7A1C43">
            <wp:extent cx="3590925" cy="2911177"/>
            <wp:effectExtent l="0" t="0" r="0" b="381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92144" cy="2912166"/>
                    </a:xfrm>
                    <a:prstGeom prst="rect">
                      <a:avLst/>
                    </a:prstGeom>
                  </pic:spPr>
                </pic:pic>
              </a:graphicData>
            </a:graphic>
          </wp:inline>
        </w:drawing>
      </w:r>
    </w:p>
    <w:p w:rsidR="00687DEA" w:rsidRDefault="00687DEA" w:rsidP="00687DEA">
      <w:pPr>
        <w:pStyle w:val="SemEspaamento"/>
        <w:jc w:val="center"/>
        <w:rPr>
          <w:sz w:val="20"/>
        </w:rPr>
      </w:pPr>
      <w:r>
        <w:rPr>
          <w:b/>
          <w:sz w:val="20"/>
        </w:rPr>
        <w:t>Fonte:</w:t>
      </w:r>
      <w:r>
        <w:rPr>
          <w:sz w:val="20"/>
        </w:rPr>
        <w:t xml:space="preserve"> VALENTE (2018)</w:t>
      </w:r>
    </w:p>
    <w:p w:rsidR="00DF4855" w:rsidRDefault="00DF4855" w:rsidP="00DF4855">
      <w:pPr>
        <w:pStyle w:val="SemEspaamento"/>
      </w:pPr>
    </w:p>
    <w:p w:rsidR="00DF4855" w:rsidRDefault="00DF4855" w:rsidP="00DF4855">
      <w:pPr>
        <w:pStyle w:val="SemEspaamento"/>
      </w:pPr>
      <w:r>
        <w:t>Com uma superfície mais pura podemos aplicar outros métodos de tratamento de superfície para resultados ainda mais específicos dependendo da finalidade de interesse.</w:t>
      </w:r>
    </w:p>
    <w:p w:rsidR="00CA38D5" w:rsidRPr="00DF4855" w:rsidRDefault="00CA38D5" w:rsidP="00DF4855">
      <w:pPr>
        <w:pStyle w:val="SemEspaamento"/>
      </w:pPr>
    </w:p>
    <w:p w:rsidR="0003054B" w:rsidRDefault="0003054B" w:rsidP="00730D8C">
      <w:pPr>
        <w:pStyle w:val="Seo"/>
        <w:numPr>
          <w:ilvl w:val="0"/>
          <w:numId w:val="0"/>
        </w:numPr>
        <w:ind w:left="786"/>
      </w:pPr>
    </w:p>
    <w:p w:rsidR="009C7E5B" w:rsidRDefault="009C7E5B" w:rsidP="009C7E5B">
      <w:pPr>
        <w:pStyle w:val="Seo"/>
      </w:pPr>
      <w:r>
        <w:lastRenderedPageBreak/>
        <w:t>CONSIDERAÇÕES FINAIS</w:t>
      </w:r>
    </w:p>
    <w:p w:rsidR="00F2144B" w:rsidRDefault="00F2144B" w:rsidP="00D7297D">
      <w:pPr>
        <w:pStyle w:val="SemEspaamento"/>
      </w:pPr>
      <w:r>
        <w:t xml:space="preserve">Com os dados de morfologia e composição da superfície podemos encontrar várias semelhanças entre os tratamentos já empregados atualmente e esse novo tratamento proposto. </w:t>
      </w:r>
    </w:p>
    <w:p w:rsidR="00730D8C" w:rsidRDefault="00D7297D" w:rsidP="00D7297D">
      <w:pPr>
        <w:pStyle w:val="SemEspaamento"/>
      </w:pPr>
      <w:r>
        <w:t xml:space="preserve">Vendo como um possível método alternativo para o tratamento de superfície </w:t>
      </w:r>
      <w:proofErr w:type="gramStart"/>
      <w:r>
        <w:t>em</w:t>
      </w:r>
      <w:proofErr w:type="gramEnd"/>
      <w:r>
        <w:t xml:space="preserve"> titânio para uma melhor biocompatibilidade faz-se necessário um estudo biológico do material submetido a tal processo. Com preferencia, em primeira instância, um estudo </w:t>
      </w:r>
      <w:r>
        <w:rPr>
          <w:i/>
        </w:rPr>
        <w:t>in vitro</w:t>
      </w:r>
      <w:r>
        <w:t xml:space="preserve"> para observação de crescimento e desenvolvimento de cultura de células sobre a superfície tratada a fim de comparação com desenvolvimento celular sobre superfícies tratadas de forma habitual no processo de implantes de titânio.</w:t>
      </w:r>
    </w:p>
    <w:p w:rsidR="00834401" w:rsidRPr="00D7297D" w:rsidRDefault="00834401" w:rsidP="00D7297D">
      <w:pPr>
        <w:pStyle w:val="SemEspaamento"/>
      </w:pPr>
      <w:r>
        <w:t>Com a presença de uma concentração de carbono é necessário uma atenção nas reações que pode provocar no organismo. Não há concentração suficiente de carbono para um dano na integração</w:t>
      </w:r>
      <w:r w:rsidR="004D098B">
        <w:t>, porém</w:t>
      </w:r>
      <w:r>
        <w:t xml:space="preserve"> podemos aprimorar o estudo de forma de substituir o carbono encontrado por outro elemento que pode acelerar ainda mais o processo de adequação da peça no corpo.</w:t>
      </w:r>
    </w:p>
    <w:p w:rsidR="00730D8C" w:rsidRDefault="00730D8C" w:rsidP="00730D8C">
      <w:pPr>
        <w:pStyle w:val="Seo"/>
        <w:numPr>
          <w:ilvl w:val="0"/>
          <w:numId w:val="0"/>
        </w:numPr>
        <w:ind w:left="786" w:hanging="360"/>
      </w:pPr>
    </w:p>
    <w:p w:rsidR="009C7E5B" w:rsidRDefault="009C7E5B" w:rsidP="009C7E5B">
      <w:pPr>
        <w:pStyle w:val="Seo"/>
        <w:numPr>
          <w:ilvl w:val="0"/>
          <w:numId w:val="0"/>
        </w:numPr>
        <w:ind w:left="720"/>
      </w:pPr>
      <w:r>
        <w:t>AGRADECIMENTOS</w:t>
      </w:r>
    </w:p>
    <w:p w:rsidR="00E218E7" w:rsidRPr="003B42ED" w:rsidRDefault="004D098B" w:rsidP="003B42ED">
      <w:pPr>
        <w:pStyle w:val="SemEspaamento"/>
      </w:pPr>
      <w:r>
        <w:t>Agradecimentos primeiro a Deus por todos os dons que concedeste a todos os pesquisadores envolvidos neste projeto. À FATEC por proporcionar espaço e equipamento para a realização dos experimentos, também a todos os funcionários que com boa intenção ajudaram durante a realização do projeto. Ao INPE e ITA por fornecer os equipamentos de análises necessários para a conclusão deste projeto.</w:t>
      </w:r>
    </w:p>
    <w:p w:rsidR="00E218E7" w:rsidRDefault="00E218E7" w:rsidP="00686B79">
      <w:pPr>
        <w:pStyle w:val="SemEspaamento"/>
      </w:pPr>
    </w:p>
    <w:p w:rsidR="00686B79" w:rsidRPr="00074EB6" w:rsidRDefault="00686B79" w:rsidP="00686B79">
      <w:pPr>
        <w:pStyle w:val="FPCTextonormal"/>
        <w:spacing w:before="0" w:after="0"/>
        <w:rPr>
          <w:rFonts w:ascii="Times New Roman" w:hAnsi="Times New Roman"/>
        </w:rPr>
      </w:pPr>
    </w:p>
    <w:p w:rsidR="00686B79" w:rsidRDefault="00686B79" w:rsidP="00686B79">
      <w:pPr>
        <w:rPr>
          <w:b/>
          <w:sz w:val="24"/>
          <w:szCs w:val="24"/>
        </w:rPr>
      </w:pPr>
      <w:r>
        <w:rPr>
          <w:b/>
          <w:sz w:val="24"/>
          <w:szCs w:val="24"/>
        </w:rPr>
        <w:t xml:space="preserve">REFERÊNCIAS </w:t>
      </w:r>
    </w:p>
    <w:p w:rsidR="00C012B3" w:rsidRPr="00D91C10" w:rsidRDefault="00C012B3" w:rsidP="00686B79">
      <w:pPr>
        <w:autoSpaceDE/>
        <w:autoSpaceDN/>
        <w:spacing w:after="120"/>
        <w:rPr>
          <w:lang w:val="en-US"/>
        </w:rPr>
      </w:pPr>
    </w:p>
    <w:p w:rsidR="00C012B3" w:rsidRPr="00D91C10" w:rsidRDefault="00C012B3" w:rsidP="00686B79">
      <w:pPr>
        <w:autoSpaceDE/>
        <w:autoSpaceDN/>
        <w:spacing w:after="120"/>
        <w:rPr>
          <w:lang w:val="en-US"/>
        </w:rPr>
      </w:pPr>
      <w:r w:rsidRPr="00D91C10">
        <w:rPr>
          <w:color w:val="000000"/>
          <w:lang w:val="en-US"/>
        </w:rPr>
        <w:t>DOROZHKIN, Sergey V. Calcium orthophosphate deposits: Preparation, properties and biomedical applications. Materials Science and Engineering: C, v.55, n. Supplement C, p. 272 – 326, ISSN 0928 – 4931, 2012.</w:t>
      </w:r>
    </w:p>
    <w:p w:rsidR="00646B43" w:rsidRPr="00617BBD" w:rsidRDefault="00147212" w:rsidP="00686B79">
      <w:pPr>
        <w:autoSpaceDE/>
        <w:autoSpaceDN/>
        <w:spacing w:after="120"/>
      </w:pPr>
      <w:r w:rsidRPr="00617BBD">
        <w:t>R</w:t>
      </w:r>
      <w:r>
        <w:t>OSA</w:t>
      </w:r>
      <w:r w:rsidR="00C90423" w:rsidRPr="00617BBD">
        <w:t xml:space="preserve">, José Luiz. </w:t>
      </w:r>
      <w:proofErr w:type="gramStart"/>
      <w:r w:rsidR="00617BBD">
        <w:t>O</w:t>
      </w:r>
      <w:r w:rsidR="00617BBD" w:rsidRPr="00617BBD">
        <w:t>timização</w:t>
      </w:r>
      <w:proofErr w:type="gramEnd"/>
      <w:r w:rsidR="00617BBD" w:rsidRPr="00617BBD">
        <w:t xml:space="preserve"> dos parâmetros para obtenção de nanotubos em ti-</w:t>
      </w:r>
      <w:proofErr w:type="spellStart"/>
      <w:r w:rsidR="00617BBD" w:rsidRPr="00617BBD">
        <w:t>cp</w:t>
      </w:r>
      <w:proofErr w:type="spellEnd"/>
      <w:r w:rsidR="00617BBD" w:rsidRPr="00617BBD">
        <w:t xml:space="preserve"> por anodização eletroquímica e aplicação na liga experimental ti-35nb-7zr. </w:t>
      </w:r>
      <w:r w:rsidR="00C90423" w:rsidRPr="00617BBD">
        <w:t>Tese de Doutorado, Universidade Estadual Paulista. Guaratinguetá. 2013.</w:t>
      </w:r>
    </w:p>
    <w:p w:rsidR="00646B43" w:rsidRPr="00617BBD" w:rsidRDefault="00147212" w:rsidP="00646B43">
      <w:pPr>
        <w:pStyle w:val="NormalWeb"/>
        <w:spacing w:before="0" w:beforeAutospacing="0" w:after="0" w:afterAutospacing="0"/>
        <w:rPr>
          <w:rFonts w:ascii="Arial" w:eastAsia="MS Mincho" w:hAnsi="Arial"/>
          <w:sz w:val="20"/>
          <w:szCs w:val="20"/>
        </w:rPr>
      </w:pPr>
      <w:r w:rsidRPr="00617BBD">
        <w:rPr>
          <w:rFonts w:ascii="Arial" w:eastAsia="MS Mincho" w:hAnsi="Arial"/>
          <w:sz w:val="20"/>
          <w:szCs w:val="20"/>
        </w:rPr>
        <w:t>VULCAN</w:t>
      </w:r>
      <w:r w:rsidR="00646B43" w:rsidRPr="00617BBD">
        <w:rPr>
          <w:rFonts w:ascii="Arial" w:eastAsia="MS Mincho" w:hAnsi="Arial"/>
          <w:sz w:val="20"/>
          <w:szCs w:val="20"/>
        </w:rPr>
        <w:t xml:space="preserve">, Tom. Titanium: Metal </w:t>
      </w:r>
      <w:proofErr w:type="spellStart"/>
      <w:r w:rsidR="00646B43" w:rsidRPr="00617BBD">
        <w:rPr>
          <w:rFonts w:ascii="Arial" w:eastAsia="MS Mincho" w:hAnsi="Arial"/>
          <w:sz w:val="20"/>
          <w:szCs w:val="20"/>
        </w:rPr>
        <w:t>of</w:t>
      </w:r>
      <w:proofErr w:type="spellEnd"/>
      <w:r w:rsidR="00646B43" w:rsidRPr="00617BBD">
        <w:rPr>
          <w:rFonts w:ascii="Arial" w:eastAsia="MS Mincho" w:hAnsi="Arial"/>
          <w:sz w:val="20"/>
          <w:szCs w:val="20"/>
        </w:rPr>
        <w:t xml:space="preserve"> </w:t>
      </w:r>
      <w:proofErr w:type="spellStart"/>
      <w:r w:rsidR="00646B43" w:rsidRPr="00617BBD">
        <w:rPr>
          <w:rFonts w:ascii="Arial" w:eastAsia="MS Mincho" w:hAnsi="Arial"/>
          <w:sz w:val="20"/>
          <w:szCs w:val="20"/>
        </w:rPr>
        <w:t>the</w:t>
      </w:r>
      <w:proofErr w:type="spellEnd"/>
      <w:r w:rsidR="00646B43" w:rsidRPr="00617BBD">
        <w:rPr>
          <w:rFonts w:ascii="Arial" w:eastAsia="MS Mincho" w:hAnsi="Arial"/>
          <w:sz w:val="20"/>
          <w:szCs w:val="20"/>
        </w:rPr>
        <w:t xml:space="preserve"> </w:t>
      </w:r>
      <w:proofErr w:type="spellStart"/>
      <w:r w:rsidR="00646B43" w:rsidRPr="00617BBD">
        <w:rPr>
          <w:rFonts w:ascii="Arial" w:eastAsia="MS Mincho" w:hAnsi="Arial"/>
          <w:sz w:val="20"/>
          <w:szCs w:val="20"/>
        </w:rPr>
        <w:t>Gods</w:t>
      </w:r>
      <w:proofErr w:type="spellEnd"/>
      <w:r w:rsidR="00646B43" w:rsidRPr="00617BBD">
        <w:rPr>
          <w:rFonts w:ascii="Arial" w:eastAsia="MS Mincho" w:hAnsi="Arial"/>
          <w:sz w:val="20"/>
          <w:szCs w:val="20"/>
        </w:rPr>
        <w:t xml:space="preserve">. In: </w:t>
      </w:r>
      <w:proofErr w:type="spellStart"/>
      <w:r w:rsidR="00646B43" w:rsidRPr="00617BBD">
        <w:rPr>
          <w:rFonts w:ascii="Arial" w:eastAsia="MS Mincho" w:hAnsi="Arial"/>
          <w:sz w:val="20"/>
          <w:szCs w:val="20"/>
        </w:rPr>
        <w:t>Seeking</w:t>
      </w:r>
      <w:proofErr w:type="spellEnd"/>
      <w:r w:rsidR="00646B43" w:rsidRPr="00617BBD">
        <w:rPr>
          <w:rFonts w:ascii="Arial" w:eastAsia="MS Mincho" w:hAnsi="Arial"/>
          <w:sz w:val="20"/>
          <w:szCs w:val="20"/>
        </w:rPr>
        <w:t xml:space="preserve"> Alpha disponível em</w:t>
      </w:r>
    </w:p>
    <w:p w:rsidR="00646B43" w:rsidRDefault="00646B43" w:rsidP="004D098B">
      <w:pPr>
        <w:pStyle w:val="NormalWeb"/>
        <w:spacing w:before="0" w:beforeAutospacing="0" w:after="0" w:afterAutospacing="0"/>
        <w:rPr>
          <w:rFonts w:ascii="Arial" w:eastAsia="MS Mincho" w:hAnsi="Arial"/>
          <w:sz w:val="20"/>
          <w:szCs w:val="20"/>
        </w:rPr>
      </w:pPr>
      <w:r w:rsidRPr="00617BBD">
        <w:rPr>
          <w:rFonts w:ascii="Arial" w:eastAsia="MS Mincho" w:hAnsi="Arial"/>
          <w:sz w:val="20"/>
          <w:szCs w:val="20"/>
        </w:rPr>
        <w:t xml:space="preserve">&lt; </w:t>
      </w:r>
      <w:proofErr w:type="gramStart"/>
      <w:r w:rsidRPr="00617BBD">
        <w:rPr>
          <w:rFonts w:ascii="Arial" w:eastAsia="MS Mincho" w:hAnsi="Arial"/>
          <w:sz w:val="20"/>
          <w:szCs w:val="20"/>
        </w:rPr>
        <w:t>https</w:t>
      </w:r>
      <w:proofErr w:type="gramEnd"/>
      <w:r w:rsidRPr="00617BBD">
        <w:rPr>
          <w:rFonts w:ascii="Arial" w:eastAsia="MS Mincho" w:hAnsi="Arial"/>
          <w:sz w:val="20"/>
          <w:szCs w:val="20"/>
        </w:rPr>
        <w:t>://seekingalpha.com/article/194965-titanium-metal-of-the-gods&gt;, Acesso 04/04/2019.</w:t>
      </w:r>
    </w:p>
    <w:p w:rsidR="004D098B" w:rsidRPr="004D098B" w:rsidRDefault="004D098B" w:rsidP="004D098B">
      <w:pPr>
        <w:pStyle w:val="NormalWeb"/>
        <w:spacing w:before="0" w:beforeAutospacing="0" w:after="0" w:afterAutospacing="0"/>
        <w:rPr>
          <w:rFonts w:ascii="Arial" w:eastAsia="MS Mincho" w:hAnsi="Arial"/>
          <w:sz w:val="20"/>
          <w:szCs w:val="20"/>
        </w:rPr>
      </w:pPr>
    </w:p>
    <w:p w:rsidR="00617BBD" w:rsidRPr="00D91C10" w:rsidRDefault="00147212" w:rsidP="00686B79">
      <w:pPr>
        <w:autoSpaceDE/>
        <w:autoSpaceDN/>
        <w:spacing w:after="120"/>
        <w:rPr>
          <w:lang w:val="en-US"/>
        </w:rPr>
      </w:pPr>
      <w:r w:rsidRPr="00D91C10">
        <w:rPr>
          <w:lang w:val="en-US"/>
        </w:rPr>
        <w:t>LUGOVSKOY</w:t>
      </w:r>
      <w:r w:rsidR="00617BBD" w:rsidRPr="00D91C10">
        <w:rPr>
          <w:lang w:val="en-US"/>
        </w:rPr>
        <w:t>, Alex. Production of ceramic layers on aluminum alloys by plasma electrolytic oxidation in alkaline silicate electrolytes. In: Applied Surface Science 264 (2013) 743 – 747.</w:t>
      </w:r>
    </w:p>
    <w:p w:rsidR="00617BBD" w:rsidRDefault="00617BBD" w:rsidP="00686B79">
      <w:pPr>
        <w:autoSpaceDE/>
        <w:autoSpaceDN/>
        <w:spacing w:after="120"/>
        <w:rPr>
          <w:color w:val="000000"/>
        </w:rPr>
      </w:pPr>
      <w:r w:rsidRPr="00D91C10">
        <w:rPr>
          <w:color w:val="000000"/>
          <w:lang w:val="en-US"/>
        </w:rPr>
        <w:t xml:space="preserve">L. ZHU et al. </w:t>
      </w:r>
      <w:proofErr w:type="gramStart"/>
      <w:r w:rsidRPr="00D91C10">
        <w:rPr>
          <w:color w:val="000000"/>
          <w:lang w:val="en-US"/>
        </w:rPr>
        <w:t xml:space="preserve">A mechanism for the growth of a plasma electrolytic oxide coating on Al. </w:t>
      </w:r>
      <w:proofErr w:type="spellStart"/>
      <w:r>
        <w:rPr>
          <w:color w:val="000000"/>
        </w:rPr>
        <w:t>Electrochimica</w:t>
      </w:r>
      <w:proofErr w:type="spellEnd"/>
      <w:r>
        <w:rPr>
          <w:color w:val="000000"/>
        </w:rPr>
        <w:t xml:space="preserve"> Acta 208 (2016) 296–303.</w:t>
      </w:r>
      <w:proofErr w:type="gramEnd"/>
    </w:p>
    <w:p w:rsidR="00214036" w:rsidRPr="00D91C10" w:rsidRDefault="00147212" w:rsidP="00214036">
      <w:pPr>
        <w:shd w:val="clear" w:color="auto" w:fill="FFFFFF"/>
        <w:autoSpaceDE/>
        <w:autoSpaceDN/>
        <w:spacing w:after="180"/>
        <w:jc w:val="left"/>
        <w:textAlignment w:val="baseline"/>
        <w:outlineLvl w:val="1"/>
        <w:rPr>
          <w:lang w:val="en-US"/>
        </w:rPr>
      </w:pPr>
      <w:r>
        <w:t>ROCHA</w:t>
      </w:r>
      <w:r w:rsidR="00214036" w:rsidRPr="00214036">
        <w:t xml:space="preserve">, Ricardo Cesar da Silva. Propriedades </w:t>
      </w:r>
      <w:proofErr w:type="spellStart"/>
      <w:r w:rsidR="00214036" w:rsidRPr="00214036">
        <w:t>tribomecânicas</w:t>
      </w:r>
      <w:proofErr w:type="spellEnd"/>
      <w:r w:rsidR="00214036" w:rsidRPr="00214036">
        <w:t xml:space="preserve"> de </w:t>
      </w:r>
      <w:proofErr w:type="spellStart"/>
      <w:r w:rsidR="00214036" w:rsidRPr="00214036">
        <w:t>superficies</w:t>
      </w:r>
      <w:proofErr w:type="spellEnd"/>
      <w:r w:rsidR="00214036" w:rsidRPr="00214036">
        <w:t xml:space="preserve"> de titânio </w:t>
      </w:r>
      <w:proofErr w:type="spellStart"/>
      <w:r w:rsidR="00214036" w:rsidRPr="00214036">
        <w:t>carbonitretadas</w:t>
      </w:r>
      <w:proofErr w:type="spellEnd"/>
      <w:r w:rsidR="00214036" w:rsidRPr="00214036">
        <w:t xml:space="preserve"> por plasma. </w:t>
      </w:r>
      <w:proofErr w:type="spellStart"/>
      <w:proofErr w:type="gramStart"/>
      <w:r w:rsidR="00214036" w:rsidRPr="00D91C10">
        <w:rPr>
          <w:lang w:val="en-US"/>
        </w:rPr>
        <w:t>Dissertação</w:t>
      </w:r>
      <w:proofErr w:type="spellEnd"/>
      <w:r w:rsidR="00214036" w:rsidRPr="00D91C10">
        <w:rPr>
          <w:lang w:val="en-US"/>
        </w:rPr>
        <w:t xml:space="preserve"> (</w:t>
      </w:r>
      <w:proofErr w:type="spellStart"/>
      <w:r w:rsidR="00214036" w:rsidRPr="00D91C10">
        <w:rPr>
          <w:lang w:val="en-US"/>
        </w:rPr>
        <w:t>mestrado</w:t>
      </w:r>
      <w:proofErr w:type="spellEnd"/>
      <w:r w:rsidR="00214036" w:rsidRPr="00D91C10">
        <w:rPr>
          <w:lang w:val="en-US"/>
        </w:rPr>
        <w:t>) – UFRN, Natal, 2011.</w:t>
      </w:r>
      <w:proofErr w:type="gramEnd"/>
      <w:r w:rsidR="00214036" w:rsidRPr="00D91C10">
        <w:rPr>
          <w:lang w:val="en-US"/>
        </w:rPr>
        <w:t xml:space="preserve"> </w:t>
      </w:r>
    </w:p>
    <w:p w:rsidR="00A75158" w:rsidRPr="00147212" w:rsidRDefault="00A75158" w:rsidP="00214036">
      <w:pPr>
        <w:shd w:val="clear" w:color="auto" w:fill="FFFFFF"/>
        <w:autoSpaceDE/>
        <w:autoSpaceDN/>
        <w:spacing w:after="180"/>
        <w:jc w:val="left"/>
        <w:textAlignment w:val="baseline"/>
        <w:outlineLvl w:val="1"/>
        <w:rPr>
          <w:color w:val="000000"/>
          <w:lang w:val="en-US"/>
        </w:rPr>
      </w:pPr>
      <w:r w:rsidRPr="00D91C10">
        <w:rPr>
          <w:color w:val="000000"/>
          <w:lang w:val="en-US"/>
        </w:rPr>
        <w:t xml:space="preserve">GUPTA, </w:t>
      </w:r>
      <w:proofErr w:type="spellStart"/>
      <w:r w:rsidRPr="00D91C10">
        <w:rPr>
          <w:color w:val="000000"/>
          <w:lang w:val="en-US"/>
        </w:rPr>
        <w:t>Pankaj</w:t>
      </w:r>
      <w:proofErr w:type="spellEnd"/>
      <w:r w:rsidRPr="00D91C10">
        <w:rPr>
          <w:color w:val="000000"/>
          <w:lang w:val="en-US"/>
        </w:rPr>
        <w:t xml:space="preserve">. </w:t>
      </w:r>
      <w:proofErr w:type="gramStart"/>
      <w:r w:rsidRPr="00D91C10">
        <w:rPr>
          <w:color w:val="000000"/>
          <w:lang w:val="en-US"/>
        </w:rPr>
        <w:t>et</w:t>
      </w:r>
      <w:proofErr w:type="gramEnd"/>
      <w:r w:rsidRPr="00D91C10">
        <w:rPr>
          <w:color w:val="000000"/>
          <w:lang w:val="en-US"/>
        </w:rPr>
        <w:t xml:space="preserve"> al. Electrolytic plasma technology: Science and engineering—An overview. </w:t>
      </w:r>
      <w:r w:rsidRPr="00147212">
        <w:rPr>
          <w:color w:val="000000"/>
          <w:lang w:val="en-US"/>
        </w:rPr>
        <w:t>Surface &amp; Coatings Technology 201 (2007) 8746–8760.</w:t>
      </w:r>
    </w:p>
    <w:p w:rsidR="00147212" w:rsidRDefault="00147212" w:rsidP="00C40973">
      <w:pPr>
        <w:shd w:val="clear" w:color="auto" w:fill="FFFFFF"/>
        <w:autoSpaceDE/>
        <w:autoSpaceDN/>
        <w:spacing w:after="180"/>
        <w:jc w:val="left"/>
        <w:textAlignment w:val="baseline"/>
        <w:outlineLvl w:val="1"/>
      </w:pPr>
      <w:r w:rsidRPr="00D91C10">
        <w:rPr>
          <w:lang w:val="en-US"/>
        </w:rPr>
        <w:lastRenderedPageBreak/>
        <w:t>GIANNOUDIS</w:t>
      </w:r>
      <w:r w:rsidR="00C27BFE">
        <w:rPr>
          <w:lang w:val="en-US"/>
        </w:rPr>
        <w:t>,</w:t>
      </w:r>
      <w:r w:rsidR="00C40973" w:rsidRPr="00D91C10">
        <w:rPr>
          <w:lang w:val="en-US"/>
        </w:rPr>
        <w:t xml:space="preserve"> PV, </w:t>
      </w:r>
      <w:proofErr w:type="spellStart"/>
      <w:r w:rsidR="00C40973" w:rsidRPr="00D91C10">
        <w:rPr>
          <w:lang w:val="en-US"/>
        </w:rPr>
        <w:t>Dinopoulos</w:t>
      </w:r>
      <w:proofErr w:type="spellEnd"/>
      <w:r w:rsidR="00C40973" w:rsidRPr="00D91C10">
        <w:rPr>
          <w:lang w:val="en-US"/>
        </w:rPr>
        <w:t xml:space="preserve"> H, </w:t>
      </w:r>
      <w:proofErr w:type="spellStart"/>
      <w:r w:rsidR="00C40973" w:rsidRPr="00D91C10">
        <w:rPr>
          <w:lang w:val="en-US"/>
        </w:rPr>
        <w:t>Tsiridis</w:t>
      </w:r>
      <w:proofErr w:type="spellEnd"/>
      <w:r w:rsidR="00C40973" w:rsidRPr="00D91C10">
        <w:rPr>
          <w:lang w:val="en-US"/>
        </w:rPr>
        <w:t xml:space="preserve"> E. Bone substitutes: </w:t>
      </w:r>
      <w:proofErr w:type="gramStart"/>
      <w:r w:rsidR="00C40973" w:rsidRPr="00D91C10">
        <w:rPr>
          <w:lang w:val="en-US"/>
        </w:rPr>
        <w:t>un</w:t>
      </w:r>
      <w:proofErr w:type="gramEnd"/>
      <w:r w:rsidR="00C40973" w:rsidRPr="00D91C10">
        <w:rPr>
          <w:lang w:val="en-US"/>
        </w:rPr>
        <w:t xml:space="preserve"> update. </w:t>
      </w:r>
      <w:proofErr w:type="spellStart"/>
      <w:r w:rsidR="00C40973" w:rsidRPr="00726489">
        <w:t>Injury</w:t>
      </w:r>
      <w:proofErr w:type="spellEnd"/>
      <w:r w:rsidR="00C40973" w:rsidRPr="00726489">
        <w:t xml:space="preserve">. </w:t>
      </w:r>
      <w:r w:rsidR="00C40973">
        <w:t xml:space="preserve">2005 </w:t>
      </w:r>
      <w:proofErr w:type="gramStart"/>
      <w:r w:rsidR="00C40973">
        <w:t>Nov.;</w:t>
      </w:r>
      <w:proofErr w:type="gramEnd"/>
      <w:r w:rsidR="00C40973">
        <w:t>36(</w:t>
      </w:r>
      <w:proofErr w:type="spellStart"/>
      <w:r w:rsidR="00C40973">
        <w:t>Suppl</w:t>
      </w:r>
      <w:proofErr w:type="spellEnd"/>
      <w:r w:rsidR="00C40973">
        <w:t xml:space="preserve"> 3): 520-27.</w:t>
      </w:r>
    </w:p>
    <w:bookmarkEnd w:id="2"/>
    <w:p w:rsidR="00214036" w:rsidRDefault="00147212" w:rsidP="00147212">
      <w:pPr>
        <w:autoSpaceDE/>
        <w:autoSpaceDN/>
        <w:spacing w:after="120"/>
      </w:pPr>
      <w:r>
        <w:t>MACHADO</w:t>
      </w:r>
      <w:r w:rsidR="004545AA">
        <w:t xml:space="preserve">, </w:t>
      </w:r>
      <w:r>
        <w:t xml:space="preserve">ACP. </w:t>
      </w:r>
      <w:proofErr w:type="spellStart"/>
      <w:r>
        <w:t>Biocompatilibidade</w:t>
      </w:r>
      <w:proofErr w:type="spellEnd"/>
      <w:r>
        <w:t xml:space="preserve"> in vivo de implantes de titânio submetidos ao processo biomimético [tese]. São José dos Campos: Faculdade de Odontologia de São José dos Campos, UNESP; 2008.</w:t>
      </w:r>
    </w:p>
    <w:p w:rsidR="004545AA" w:rsidRPr="00617BBD" w:rsidRDefault="004545AA" w:rsidP="00147212">
      <w:pPr>
        <w:autoSpaceDE/>
        <w:autoSpaceDN/>
        <w:spacing w:after="120"/>
      </w:pPr>
      <w:r>
        <w:t xml:space="preserve">VALENTE, MLC. </w:t>
      </w:r>
      <w:r>
        <w:t xml:space="preserve">Análise das características físico-químicas de dois tratamentos de superfície em </w:t>
      </w:r>
      <w:proofErr w:type="spellStart"/>
      <w:r>
        <w:t>mini-implantes</w:t>
      </w:r>
      <w:proofErr w:type="spellEnd"/>
      <w:r>
        <w:t xml:space="preserve"> dentais</w:t>
      </w:r>
      <w:r>
        <w:t xml:space="preserve">. Ribeirão Preto: Faculdade de Odontologia de Ribeirão Preto, USP; </w:t>
      </w:r>
      <w:proofErr w:type="gramStart"/>
      <w:r>
        <w:t>2018</w:t>
      </w:r>
      <w:proofErr w:type="gramEnd"/>
    </w:p>
    <w:sectPr w:rsidR="004545AA" w:rsidRPr="00617BBD" w:rsidSect="00696317">
      <w:headerReference w:type="default" r:id="rId19"/>
      <w:footerReference w:type="even" r:id="rId20"/>
      <w:footerReference w:type="default" r:id="rId21"/>
      <w:headerReference w:type="first" r:id="rId22"/>
      <w:footerReference w:type="first" r:id="rId23"/>
      <w:pgSz w:w="11907" w:h="16840" w:code="9"/>
      <w:pgMar w:top="2524" w:right="1134" w:bottom="2127" w:left="1701" w:header="720" w:footer="1212"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7A7A" w:rsidRDefault="00517A7A">
      <w:r>
        <w:separator/>
      </w:r>
    </w:p>
  </w:endnote>
  <w:endnote w:type="continuationSeparator" w:id="0">
    <w:p w:rsidR="00517A7A" w:rsidRDefault="00517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EB6" w:rsidRDefault="00686B79">
    <w:pPr>
      <w:pStyle w:val="Rodap"/>
      <w:jc w:val="right"/>
    </w:pPr>
    <w:r>
      <w:fldChar w:fldCharType="begin"/>
    </w:r>
    <w:r>
      <w:instrText>PAGE   \* MERGEFORMAT</w:instrText>
    </w:r>
    <w:r>
      <w:fldChar w:fldCharType="separate"/>
    </w:r>
    <w:r>
      <w:rPr>
        <w:noProof/>
      </w:rPr>
      <w:t>2</w:t>
    </w:r>
    <w:r>
      <w:rPr>
        <w:noProof/>
      </w:rPr>
      <w:fldChar w:fldCharType="end"/>
    </w:r>
  </w:p>
  <w:p w:rsidR="00074EB6" w:rsidRDefault="00517A7A">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552" w:rsidRPr="00BC7195" w:rsidRDefault="00292221">
    <w:pPr>
      <w:pStyle w:val="Rodap"/>
    </w:pPr>
    <w:r>
      <w:rPr>
        <w:noProof/>
      </w:rPr>
      <w:drawing>
        <wp:anchor distT="0" distB="0" distL="114300" distR="114300" simplePos="0" relativeHeight="251668480" behindDoc="0" locked="0" layoutInCell="1" allowOverlap="1" wp14:anchorId="1688F9FF" wp14:editId="1FEB7C1D">
          <wp:simplePos x="0" y="0"/>
          <wp:positionH relativeFrom="margin">
            <wp:posOffset>1263015</wp:posOffset>
          </wp:positionH>
          <wp:positionV relativeFrom="margin">
            <wp:posOffset>8055610</wp:posOffset>
          </wp:positionV>
          <wp:extent cx="3714750" cy="959485"/>
          <wp:effectExtent l="0" t="0" r="0" b="0"/>
          <wp:wrapSquare wrapText="bothSides"/>
          <wp:docPr id="5" name="Imagem 5" descr="Descrição: http://i65.tinypic.com/dca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i65.tinypic.com/dca82b.png"/>
                  <pic:cNvPicPr>
                    <a:picLocks noChangeAspect="1" noChangeArrowheads="1"/>
                  </pic:cNvPicPr>
                </pic:nvPicPr>
                <pic:blipFill rotWithShape="1">
                  <a:blip r:embed="rId1">
                    <a:extLst>
                      <a:ext uri="{28A0092B-C50C-407E-A947-70E740481C1C}">
                        <a14:useLocalDpi xmlns:a14="http://schemas.microsoft.com/office/drawing/2010/main" val="0"/>
                      </a:ext>
                    </a:extLst>
                  </a:blip>
                  <a:srcRect l="39629"/>
                  <a:stretch/>
                </pic:blipFill>
                <pic:spPr bwMode="auto">
                  <a:xfrm>
                    <a:off x="0" y="0"/>
                    <a:ext cx="3714750" cy="95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6B79">
      <w:rPr>
        <w:noProof/>
      </w:rPr>
      <w:drawing>
        <wp:anchor distT="0" distB="0" distL="114300" distR="114300" simplePos="0" relativeHeight="251659264" behindDoc="0" locked="0" layoutInCell="1" allowOverlap="1" wp14:anchorId="71B9AE53" wp14:editId="7B61A467">
          <wp:simplePos x="0" y="0"/>
          <wp:positionH relativeFrom="margin">
            <wp:posOffset>-670560</wp:posOffset>
          </wp:positionH>
          <wp:positionV relativeFrom="margin">
            <wp:posOffset>8065135</wp:posOffset>
          </wp:positionV>
          <wp:extent cx="1356995" cy="959485"/>
          <wp:effectExtent l="0" t="0" r="0" b="0"/>
          <wp:wrapSquare wrapText="bothSides"/>
          <wp:docPr id="2" name="Imagem 2" descr="Descrição: http://i65.tinypic.com/dca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i65.tinypic.com/dca82b.png"/>
                  <pic:cNvPicPr>
                    <a:picLocks noChangeAspect="1" noChangeArrowheads="1"/>
                  </pic:cNvPicPr>
                </pic:nvPicPr>
                <pic:blipFill rotWithShape="1">
                  <a:blip r:embed="rId1">
                    <a:extLst>
                      <a:ext uri="{28A0092B-C50C-407E-A947-70E740481C1C}">
                        <a14:useLocalDpi xmlns:a14="http://schemas.microsoft.com/office/drawing/2010/main" val="0"/>
                      </a:ext>
                    </a:extLst>
                  </a:blip>
                  <a:srcRect r="77941"/>
                  <a:stretch/>
                </pic:blipFill>
                <pic:spPr bwMode="auto">
                  <a:xfrm>
                    <a:off x="0" y="0"/>
                    <a:ext cx="1356995" cy="95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6B79">
      <w:rPr>
        <w:noProof/>
      </w:rPr>
      <mc:AlternateContent>
        <mc:Choice Requires="wps">
          <w:drawing>
            <wp:anchor distT="0" distB="0" distL="114300" distR="114300" simplePos="0" relativeHeight="251663360" behindDoc="0" locked="0" layoutInCell="1" allowOverlap="1" wp14:anchorId="6BED062A" wp14:editId="7F12781C">
              <wp:simplePos x="0" y="0"/>
              <wp:positionH relativeFrom="column">
                <wp:posOffset>974090</wp:posOffset>
              </wp:positionH>
              <wp:positionV relativeFrom="paragraph">
                <wp:posOffset>-202565</wp:posOffset>
              </wp:positionV>
              <wp:extent cx="2299970" cy="237490"/>
              <wp:effectExtent l="2540" t="0" r="1905" b="3175"/>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6B50" w:rsidRPr="001E0AF0" w:rsidRDefault="00686B79" w:rsidP="00E66B50">
                          <w:pPr>
                            <w:rPr>
                              <w:b/>
                            </w:rPr>
                          </w:pPr>
                          <w:r>
                            <w:rPr>
                              <w:b/>
                            </w:rPr>
                            <w:t>Apoio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ixa de texto 4" o:spid="_x0000_s1026" type="#_x0000_t202" style="position:absolute;left:0;text-align:left;margin-left:76.7pt;margin-top:-15.95pt;width:181.1pt;height:18.7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" stroked="f">
              <v:textbox style="mso-fit-shape-to-text:t">
                <w:txbxContent>
                  <w:p w:rsidR="00E66B50" w:rsidRPr="001E0AF0" w:rsidRDefault="00686B79" w:rsidP="00E66B50">
                    <w:pPr>
                      <w:rPr>
                        <w:b/>
                      </w:rPr>
                    </w:pPr>
                    <w:r>
                      <w:rPr>
                        <w:b/>
                      </w:rPr>
                      <w:t>Apoio</w:t>
                    </w:r>
                  </w:p>
                </w:txbxContent>
              </v:textbox>
            </v:shape>
          </w:pict>
        </mc:Fallback>
      </mc:AlternateContent>
    </w:r>
    <w:r w:rsidR="00686B79">
      <w:rPr>
        <w:noProof/>
      </w:rPr>
      <mc:AlternateContent>
        <mc:Choice Requires="wps">
          <w:drawing>
            <wp:anchor distT="0" distB="0" distL="114300" distR="114300" simplePos="0" relativeHeight="251662336" behindDoc="0" locked="0" layoutInCell="1" allowOverlap="1" wp14:anchorId="0296B7F2" wp14:editId="6B1B766F">
              <wp:simplePos x="0" y="0"/>
              <wp:positionH relativeFrom="column">
                <wp:posOffset>-511810</wp:posOffset>
              </wp:positionH>
              <wp:positionV relativeFrom="paragraph">
                <wp:posOffset>-202565</wp:posOffset>
              </wp:positionV>
              <wp:extent cx="2301875" cy="237490"/>
              <wp:effectExtent l="2540" t="0" r="0" b="3175"/>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AF0" w:rsidRPr="001E0AF0" w:rsidRDefault="00686B79">
                          <w:pPr>
                            <w:rPr>
                              <w:b/>
                            </w:rPr>
                          </w:pPr>
                          <w:r w:rsidRPr="001E0AF0">
                            <w:rPr>
                              <w:b/>
                            </w:rPr>
                            <w:t>Realização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Caixa de texto 3" o:spid="_x0000_s1027" type="#_x0000_t202" style="position:absolute;left:0;text-align:left;margin-left:-40.3pt;margin-top:-15.95pt;width:181.25pt;height:18.7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" stroked="f">
              <v:textbox style="mso-fit-shape-to-text:t">
                <w:txbxContent>
                  <w:p w:rsidR="001E0AF0" w:rsidRPr="001E0AF0" w:rsidRDefault="00686B79">
                    <w:pPr>
                      <w:rPr>
                        <w:b/>
                      </w:rPr>
                    </w:pPr>
                    <w:r w:rsidRPr="001E0AF0">
                      <w:rPr>
                        <w:b/>
                      </w:rPr>
                      <w:t>Realização</w:t>
                    </w:r>
                  </w:p>
                </w:txbxContent>
              </v:textbox>
            </v:shape>
          </w:pict>
        </mc:Fallback>
      </mc:AlternateContent>
    </w:r>
  </w:p>
  <w:p w:rsidR="00B07EE1" w:rsidRDefault="00686B79">
    <w:pPr>
      <w:pStyle w:val="Rodap"/>
    </w:pPr>
    <w:r>
      <w:rPr>
        <w:noProof/>
      </w:rPr>
      <w:drawing>
        <wp:anchor distT="0" distB="0" distL="114300" distR="114300" simplePos="0" relativeHeight="251669504" behindDoc="0" locked="0" layoutInCell="1" allowOverlap="1" wp14:anchorId="179B7106" wp14:editId="414B9E90">
          <wp:simplePos x="0" y="0"/>
          <wp:positionH relativeFrom="margin">
            <wp:posOffset>4853940</wp:posOffset>
          </wp:positionH>
          <wp:positionV relativeFrom="margin">
            <wp:posOffset>8434705</wp:posOffset>
          </wp:positionV>
          <wp:extent cx="790575" cy="167005"/>
          <wp:effectExtent l="0" t="0" r="9525" b="4445"/>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pesp.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90575" cy="16700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EB7" w:rsidRDefault="00686B79" w:rsidP="00D60EB7">
    <w:pPr>
      <w:pStyle w:val="Rodap"/>
      <w:jc w:val="center"/>
    </w:pPr>
    <w:r>
      <w:t xml:space="preserve">II CONINTER – Congresso Internacional Interdisciplinar em Sociais e Humanidades </w:t>
    </w:r>
  </w:p>
  <w:p w:rsidR="00B964BA" w:rsidRDefault="00686B79" w:rsidP="00D60EB7">
    <w:pPr>
      <w:pStyle w:val="Rodap"/>
      <w:jc w:val="center"/>
    </w:pPr>
    <w:r>
      <w:t xml:space="preserve">Belo Horizonte, de 8 a 11 de outubro de </w:t>
    </w:r>
    <w:proofErr w:type="gramStart"/>
    <w:r>
      <w:t>2013</w:t>
    </w:r>
    <w:proofErr w:type="gram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7A7A" w:rsidRDefault="00517A7A">
      <w:r>
        <w:separator/>
      </w:r>
    </w:p>
  </w:footnote>
  <w:footnote w:type="continuationSeparator" w:id="0">
    <w:p w:rsidR="00517A7A" w:rsidRDefault="00517A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8D4" w:rsidRDefault="0068594A" w:rsidP="000C3153">
    <w:pPr>
      <w:pStyle w:val="Cabealho"/>
      <w:jc w:val="right"/>
    </w:pPr>
    <w:r>
      <w:rPr>
        <w:noProof/>
      </w:rPr>
      <w:drawing>
        <wp:anchor distT="0" distB="0" distL="114300" distR="114300" simplePos="0" relativeHeight="251670528" behindDoc="0" locked="0" layoutInCell="1" allowOverlap="1" wp14:anchorId="3C5552AB" wp14:editId="30512C6F">
          <wp:simplePos x="0" y="0"/>
          <wp:positionH relativeFrom="margin">
            <wp:posOffset>4253865</wp:posOffset>
          </wp:positionH>
          <wp:positionV relativeFrom="margin">
            <wp:posOffset>-1365250</wp:posOffset>
          </wp:positionV>
          <wp:extent cx="1905000" cy="906780"/>
          <wp:effectExtent l="0" t="0" r="0" b="762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5000" cy="906780"/>
                  </a:xfrm>
                  <a:prstGeom prst="rect">
                    <a:avLst/>
                  </a:prstGeom>
                </pic:spPr>
              </pic:pic>
            </a:graphicData>
          </a:graphic>
          <wp14:sizeRelH relativeFrom="margin">
            <wp14:pctWidth>0</wp14:pctWidth>
          </wp14:sizeRelH>
          <wp14:sizeRelV relativeFrom="margin">
            <wp14:pctHeight>0</wp14:pctHeight>
          </wp14:sizeRelV>
        </wp:anchor>
      </w:drawing>
    </w:r>
    <w:r w:rsidR="000C3153">
      <w:rPr>
        <w:noProof/>
      </w:rPr>
      <w:drawing>
        <wp:anchor distT="0" distB="0" distL="114300" distR="114300" simplePos="0" relativeHeight="251666432" behindDoc="0" locked="0" layoutInCell="1" allowOverlap="1" wp14:anchorId="66FDC483" wp14:editId="3068B786">
          <wp:simplePos x="0" y="0"/>
          <wp:positionH relativeFrom="margin">
            <wp:posOffset>689610</wp:posOffset>
          </wp:positionH>
          <wp:positionV relativeFrom="margin">
            <wp:posOffset>-3382010</wp:posOffset>
          </wp:positionV>
          <wp:extent cx="1278890" cy="4832350"/>
          <wp:effectExtent l="0" t="5080" r="0"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r.PNG"/>
                  <pic:cNvPicPr/>
                </pic:nvPicPr>
                <pic:blipFill rotWithShape="1">
                  <a:blip r:embed="rId2">
                    <a:extLst>
                      <a:ext uri="{28A0092B-C50C-407E-A947-70E740481C1C}">
                        <a14:useLocalDpi xmlns:a14="http://schemas.microsoft.com/office/drawing/2010/main" val="0"/>
                      </a:ext>
                    </a:extLst>
                  </a:blip>
                  <a:srcRect r="76313"/>
                  <a:stretch/>
                </pic:blipFill>
                <pic:spPr bwMode="auto">
                  <a:xfrm rot="5400000">
                    <a:off x="0" y="0"/>
                    <a:ext cx="1278890" cy="4832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8C9" w:rsidRDefault="00686B79">
    <w:pPr>
      <w:pStyle w:val="Cabealho"/>
      <w:jc w:val="right"/>
    </w:pPr>
    <w:r>
      <w:rPr>
        <w:noProof/>
      </w:rPr>
      <w:drawing>
        <wp:anchor distT="0" distB="0" distL="114300" distR="114300" simplePos="0" relativeHeight="251660288" behindDoc="0" locked="0" layoutInCell="1" allowOverlap="1" wp14:anchorId="0A273AFB" wp14:editId="1E0E6CB4">
          <wp:simplePos x="0" y="0"/>
          <wp:positionH relativeFrom="margin">
            <wp:posOffset>-948690</wp:posOffset>
          </wp:positionH>
          <wp:positionV relativeFrom="margin">
            <wp:posOffset>-1087120</wp:posOffset>
          </wp:positionV>
          <wp:extent cx="2113280" cy="905510"/>
          <wp:effectExtent l="0" t="0" r="1270" b="8890"/>
          <wp:wrapSquare wrapText="bothSides"/>
          <wp:docPr id="1" name="Imagem 1" descr="Logotipo_SIDTe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Logotipo_SIDTec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3280" cy="9055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1</w:t>
    </w:r>
    <w:r>
      <w:rPr>
        <w:noProof/>
      </w:rPr>
      <w:fldChar w:fldCharType="end"/>
    </w:r>
  </w:p>
  <w:p w:rsidR="00D22BA2" w:rsidRPr="00447739" w:rsidRDefault="00517A7A" w:rsidP="00447739">
    <w:pPr>
      <w:pStyle w:val="Cabealh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6B6627"/>
    <w:multiLevelType w:val="multilevel"/>
    <w:tmpl w:val="18A4BB80"/>
    <w:lvl w:ilvl="0">
      <w:start w:val="1"/>
      <w:numFmt w:val="decimal"/>
      <w:pStyle w:val="Seo"/>
      <w:lvlText w:val="%1."/>
      <w:lvlJc w:val="left"/>
      <w:pPr>
        <w:ind w:left="786" w:hanging="360"/>
      </w:pPr>
      <w:rPr>
        <w:rFonts w:hint="default"/>
        <w:sz w:val="24"/>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B79"/>
    <w:rsid w:val="00027C7A"/>
    <w:rsid w:val="0003054B"/>
    <w:rsid w:val="00042795"/>
    <w:rsid w:val="000C3153"/>
    <w:rsid w:val="000E0DE7"/>
    <w:rsid w:val="000F52A4"/>
    <w:rsid w:val="00110008"/>
    <w:rsid w:val="00127E90"/>
    <w:rsid w:val="00137898"/>
    <w:rsid w:val="00147212"/>
    <w:rsid w:val="001712F9"/>
    <w:rsid w:val="001E428C"/>
    <w:rsid w:val="001F7167"/>
    <w:rsid w:val="00214036"/>
    <w:rsid w:val="00292221"/>
    <w:rsid w:val="00335E57"/>
    <w:rsid w:val="00377773"/>
    <w:rsid w:val="003B42ED"/>
    <w:rsid w:val="0042094A"/>
    <w:rsid w:val="00432E4B"/>
    <w:rsid w:val="004545AA"/>
    <w:rsid w:val="00464478"/>
    <w:rsid w:val="00484B0D"/>
    <w:rsid w:val="004D098B"/>
    <w:rsid w:val="00517A7A"/>
    <w:rsid w:val="00565168"/>
    <w:rsid w:val="00590083"/>
    <w:rsid w:val="00595BFD"/>
    <w:rsid w:val="00596B11"/>
    <w:rsid w:val="005D0DE6"/>
    <w:rsid w:val="005E5B9C"/>
    <w:rsid w:val="005F08D5"/>
    <w:rsid w:val="005F4389"/>
    <w:rsid w:val="00617BBD"/>
    <w:rsid w:val="00624C21"/>
    <w:rsid w:val="00645651"/>
    <w:rsid w:val="00646B43"/>
    <w:rsid w:val="0068594A"/>
    <w:rsid w:val="00686B79"/>
    <w:rsid w:val="00687DEA"/>
    <w:rsid w:val="006C430E"/>
    <w:rsid w:val="006D0A0F"/>
    <w:rsid w:val="00723628"/>
    <w:rsid w:val="00726489"/>
    <w:rsid w:val="00730D8C"/>
    <w:rsid w:val="00770083"/>
    <w:rsid w:val="0078007D"/>
    <w:rsid w:val="007F5837"/>
    <w:rsid w:val="0082067A"/>
    <w:rsid w:val="00834401"/>
    <w:rsid w:val="008F1448"/>
    <w:rsid w:val="00930828"/>
    <w:rsid w:val="00934EB1"/>
    <w:rsid w:val="009C7E5B"/>
    <w:rsid w:val="009E1481"/>
    <w:rsid w:val="009E1EB9"/>
    <w:rsid w:val="009F095C"/>
    <w:rsid w:val="00A5791A"/>
    <w:rsid w:val="00A676BC"/>
    <w:rsid w:val="00A75158"/>
    <w:rsid w:val="00A817A3"/>
    <w:rsid w:val="00AC496E"/>
    <w:rsid w:val="00B40E18"/>
    <w:rsid w:val="00B5274F"/>
    <w:rsid w:val="00C012B3"/>
    <w:rsid w:val="00C13EAD"/>
    <w:rsid w:val="00C27BFE"/>
    <w:rsid w:val="00C40973"/>
    <w:rsid w:val="00C90423"/>
    <w:rsid w:val="00CA38D5"/>
    <w:rsid w:val="00CB31CB"/>
    <w:rsid w:val="00D544B4"/>
    <w:rsid w:val="00D7297D"/>
    <w:rsid w:val="00D91C10"/>
    <w:rsid w:val="00DF16DD"/>
    <w:rsid w:val="00DF4855"/>
    <w:rsid w:val="00E1774E"/>
    <w:rsid w:val="00E218E7"/>
    <w:rsid w:val="00EB1E04"/>
    <w:rsid w:val="00F16B3A"/>
    <w:rsid w:val="00F2144B"/>
    <w:rsid w:val="00F2716C"/>
    <w:rsid w:val="00F41FBD"/>
    <w:rsid w:val="00FB427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Resumo"/>
    <w:qFormat/>
    <w:rsid w:val="00686B79"/>
    <w:pPr>
      <w:autoSpaceDE w:val="0"/>
      <w:autoSpaceDN w:val="0"/>
      <w:spacing w:after="0" w:line="240" w:lineRule="auto"/>
      <w:jc w:val="both"/>
    </w:pPr>
    <w:rPr>
      <w:rFonts w:ascii="Arial" w:eastAsia="MS Mincho" w:hAnsi="Arial" w:cs="Times New Roman"/>
      <w:sz w:val="20"/>
      <w:szCs w:val="20"/>
      <w:lang w:eastAsia="pt-BR"/>
    </w:rPr>
  </w:style>
  <w:style w:type="paragraph" w:styleId="Ttulo1">
    <w:name w:val="heading 1"/>
    <w:basedOn w:val="Normal"/>
    <w:next w:val="Normal"/>
    <w:link w:val="Ttulo1Char"/>
    <w:uiPriority w:val="9"/>
    <w:qFormat/>
    <w:rsid w:val="005E5B9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har"/>
    <w:uiPriority w:val="9"/>
    <w:qFormat/>
    <w:rsid w:val="00214036"/>
    <w:pPr>
      <w:autoSpaceDE/>
      <w:autoSpaceDN/>
      <w:spacing w:before="100" w:beforeAutospacing="1" w:after="100" w:afterAutospacing="1"/>
      <w:jc w:val="left"/>
      <w:outlineLvl w:val="1"/>
    </w:pPr>
    <w:rPr>
      <w:rFonts w:ascii="Times New Roman" w:eastAsia="Times New Roman" w:hAnsi="Times New Roman"/>
      <w:b/>
      <w:bCs/>
      <w:sz w:val="36"/>
      <w:szCs w:val="36"/>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686B79"/>
    <w:pPr>
      <w:tabs>
        <w:tab w:val="center" w:pos="4419"/>
        <w:tab w:val="right" w:pos="8838"/>
      </w:tabs>
    </w:pPr>
  </w:style>
  <w:style w:type="character" w:customStyle="1" w:styleId="CabealhoChar">
    <w:name w:val="Cabeçalho Char"/>
    <w:basedOn w:val="Fontepargpadro"/>
    <w:link w:val="Cabealho"/>
    <w:uiPriority w:val="99"/>
    <w:rsid w:val="00686B79"/>
    <w:rPr>
      <w:rFonts w:ascii="Arial" w:eastAsia="MS Mincho" w:hAnsi="Arial" w:cs="Times New Roman"/>
      <w:sz w:val="20"/>
      <w:szCs w:val="20"/>
      <w:lang w:eastAsia="pt-BR"/>
    </w:rPr>
  </w:style>
  <w:style w:type="paragraph" w:styleId="Rodap">
    <w:name w:val="footer"/>
    <w:basedOn w:val="Normal"/>
    <w:link w:val="RodapChar"/>
    <w:uiPriority w:val="99"/>
    <w:rsid w:val="00686B79"/>
    <w:pPr>
      <w:tabs>
        <w:tab w:val="center" w:pos="4419"/>
        <w:tab w:val="right" w:pos="8838"/>
      </w:tabs>
    </w:pPr>
  </w:style>
  <w:style w:type="character" w:customStyle="1" w:styleId="RodapChar">
    <w:name w:val="Rodapé Char"/>
    <w:basedOn w:val="Fontepargpadro"/>
    <w:link w:val="Rodap"/>
    <w:uiPriority w:val="99"/>
    <w:rsid w:val="00686B79"/>
    <w:rPr>
      <w:rFonts w:ascii="Arial" w:eastAsia="MS Mincho" w:hAnsi="Arial" w:cs="Times New Roman"/>
      <w:sz w:val="20"/>
      <w:szCs w:val="20"/>
      <w:lang w:eastAsia="pt-BR"/>
    </w:rPr>
  </w:style>
  <w:style w:type="character" w:styleId="Forte">
    <w:name w:val="Strong"/>
    <w:qFormat/>
    <w:rsid w:val="00686B79"/>
    <w:rPr>
      <w:b/>
      <w:bCs/>
    </w:rPr>
  </w:style>
  <w:style w:type="paragraph" w:styleId="NormalWeb">
    <w:name w:val="Normal (Web)"/>
    <w:basedOn w:val="Normal"/>
    <w:uiPriority w:val="99"/>
    <w:unhideWhenUsed/>
    <w:rsid w:val="00686B79"/>
    <w:pPr>
      <w:autoSpaceDE/>
      <w:autoSpaceDN/>
      <w:spacing w:before="100" w:beforeAutospacing="1" w:after="100" w:afterAutospacing="1"/>
      <w:jc w:val="left"/>
    </w:pPr>
    <w:rPr>
      <w:rFonts w:ascii="Times New Roman" w:eastAsia="Times New Roman" w:hAnsi="Times New Roman"/>
      <w:sz w:val="24"/>
      <w:szCs w:val="24"/>
    </w:rPr>
  </w:style>
  <w:style w:type="character" w:styleId="Hyperlink">
    <w:name w:val="Hyperlink"/>
    <w:basedOn w:val="Fontepargpadro"/>
    <w:uiPriority w:val="99"/>
    <w:semiHidden/>
    <w:unhideWhenUsed/>
    <w:rsid w:val="00686B79"/>
    <w:rPr>
      <w:color w:val="0000FF"/>
      <w:u w:val="single"/>
    </w:rPr>
  </w:style>
  <w:style w:type="paragraph" w:customStyle="1" w:styleId="FPCNomedoAutor">
    <w:name w:val="FPC Nome do Autor"/>
    <w:basedOn w:val="Normal"/>
    <w:rsid w:val="00686B79"/>
    <w:pPr>
      <w:autoSpaceDE/>
      <w:autoSpaceDN/>
      <w:spacing w:before="360" w:after="120"/>
      <w:jc w:val="center"/>
    </w:pPr>
    <w:rPr>
      <w:b/>
      <w:sz w:val="24"/>
      <w:szCs w:val="24"/>
    </w:rPr>
  </w:style>
  <w:style w:type="paragraph" w:customStyle="1" w:styleId="FPCTextonormal">
    <w:name w:val="FPC Texto normal"/>
    <w:basedOn w:val="Normal"/>
    <w:rsid w:val="00686B79"/>
    <w:pPr>
      <w:autoSpaceDE/>
      <w:autoSpaceDN/>
      <w:spacing w:before="120" w:after="120"/>
    </w:pPr>
    <w:rPr>
      <w:sz w:val="22"/>
      <w:szCs w:val="24"/>
    </w:rPr>
  </w:style>
  <w:style w:type="paragraph" w:styleId="Ttulo">
    <w:name w:val="Title"/>
    <w:basedOn w:val="Normal"/>
    <w:next w:val="Normal"/>
    <w:link w:val="TtuloChar"/>
    <w:qFormat/>
    <w:rsid w:val="00686B79"/>
    <w:pPr>
      <w:spacing w:line="360" w:lineRule="auto"/>
      <w:jc w:val="center"/>
      <w:outlineLvl w:val="0"/>
    </w:pPr>
    <w:rPr>
      <w:rFonts w:eastAsia="Times New Roman"/>
      <w:b/>
      <w:bCs/>
      <w:caps/>
      <w:kern w:val="28"/>
      <w:sz w:val="28"/>
      <w:szCs w:val="32"/>
    </w:rPr>
  </w:style>
  <w:style w:type="character" w:customStyle="1" w:styleId="TtuloChar">
    <w:name w:val="Título Char"/>
    <w:basedOn w:val="Fontepargpadro"/>
    <w:link w:val="Ttulo"/>
    <w:rsid w:val="00686B79"/>
    <w:rPr>
      <w:rFonts w:ascii="Arial" w:eastAsia="Times New Roman" w:hAnsi="Arial" w:cs="Times New Roman"/>
      <w:b/>
      <w:bCs/>
      <w:caps/>
      <w:kern w:val="28"/>
      <w:sz w:val="28"/>
      <w:szCs w:val="32"/>
      <w:lang w:eastAsia="pt-BR"/>
    </w:rPr>
  </w:style>
  <w:style w:type="paragraph" w:styleId="Subttulo">
    <w:name w:val="Subtitle"/>
    <w:aliases w:val="Citação Direta"/>
    <w:basedOn w:val="Normal"/>
    <w:next w:val="Normal"/>
    <w:link w:val="SubttuloChar"/>
    <w:qFormat/>
    <w:rsid w:val="00686B79"/>
    <w:pPr>
      <w:ind w:left="2268"/>
    </w:pPr>
    <w:rPr>
      <w:rFonts w:eastAsia="Times New Roman"/>
      <w:szCs w:val="24"/>
    </w:rPr>
  </w:style>
  <w:style w:type="character" w:customStyle="1" w:styleId="SubttuloChar">
    <w:name w:val="Subtítulo Char"/>
    <w:aliases w:val="Citação Direta Char"/>
    <w:basedOn w:val="Fontepargpadro"/>
    <w:link w:val="Subttulo"/>
    <w:rsid w:val="00686B79"/>
    <w:rPr>
      <w:rFonts w:ascii="Arial" w:eastAsia="Times New Roman" w:hAnsi="Arial" w:cs="Times New Roman"/>
      <w:sz w:val="20"/>
      <w:szCs w:val="24"/>
      <w:lang w:eastAsia="pt-BR"/>
    </w:rPr>
  </w:style>
  <w:style w:type="paragraph" w:customStyle="1" w:styleId="Seo">
    <w:name w:val="Seção"/>
    <w:basedOn w:val="Normal"/>
    <w:link w:val="SeoChar"/>
    <w:qFormat/>
    <w:rsid w:val="00686B79"/>
    <w:pPr>
      <w:numPr>
        <w:numId w:val="1"/>
      </w:numPr>
    </w:pPr>
    <w:rPr>
      <w:b/>
      <w:sz w:val="24"/>
      <w:szCs w:val="24"/>
    </w:rPr>
  </w:style>
  <w:style w:type="paragraph" w:styleId="SemEspaamento">
    <w:name w:val="No Spacing"/>
    <w:uiPriority w:val="1"/>
    <w:qFormat/>
    <w:rsid w:val="00686B79"/>
    <w:pPr>
      <w:autoSpaceDE w:val="0"/>
      <w:autoSpaceDN w:val="0"/>
      <w:spacing w:after="0" w:line="240" w:lineRule="auto"/>
      <w:ind w:firstLine="709"/>
      <w:jc w:val="both"/>
    </w:pPr>
    <w:rPr>
      <w:rFonts w:ascii="Arial" w:eastAsia="MS Mincho" w:hAnsi="Arial" w:cs="Times New Roman"/>
      <w:sz w:val="24"/>
      <w:szCs w:val="20"/>
      <w:lang w:eastAsia="pt-BR"/>
    </w:rPr>
  </w:style>
  <w:style w:type="character" w:customStyle="1" w:styleId="SeoChar">
    <w:name w:val="Seção Char"/>
    <w:link w:val="Seo"/>
    <w:rsid w:val="00686B79"/>
    <w:rPr>
      <w:rFonts w:ascii="Arial" w:eastAsia="MS Mincho" w:hAnsi="Arial" w:cs="Times New Roman"/>
      <w:b/>
      <w:sz w:val="24"/>
      <w:szCs w:val="24"/>
      <w:lang w:eastAsia="pt-BR"/>
    </w:rPr>
  </w:style>
  <w:style w:type="paragraph" w:styleId="Textodebalo">
    <w:name w:val="Balloon Text"/>
    <w:basedOn w:val="Normal"/>
    <w:link w:val="TextodebaloChar"/>
    <w:uiPriority w:val="99"/>
    <w:semiHidden/>
    <w:unhideWhenUsed/>
    <w:rsid w:val="000C3153"/>
    <w:rPr>
      <w:rFonts w:ascii="Tahoma" w:hAnsi="Tahoma" w:cs="Tahoma"/>
      <w:sz w:val="16"/>
      <w:szCs w:val="16"/>
    </w:rPr>
  </w:style>
  <w:style w:type="character" w:customStyle="1" w:styleId="TextodebaloChar">
    <w:name w:val="Texto de balão Char"/>
    <w:basedOn w:val="Fontepargpadro"/>
    <w:link w:val="Textodebalo"/>
    <w:uiPriority w:val="99"/>
    <w:semiHidden/>
    <w:rsid w:val="000C3153"/>
    <w:rPr>
      <w:rFonts w:ascii="Tahoma" w:eastAsia="MS Mincho" w:hAnsi="Tahoma" w:cs="Tahoma"/>
      <w:sz w:val="16"/>
      <w:szCs w:val="16"/>
      <w:lang w:eastAsia="pt-BR"/>
    </w:rPr>
  </w:style>
  <w:style w:type="character" w:styleId="HiperlinkVisitado">
    <w:name w:val="FollowedHyperlink"/>
    <w:basedOn w:val="Fontepargpadro"/>
    <w:uiPriority w:val="99"/>
    <w:semiHidden/>
    <w:unhideWhenUsed/>
    <w:rsid w:val="00FB427A"/>
    <w:rPr>
      <w:color w:val="800080" w:themeColor="followedHyperlink"/>
      <w:u w:val="single"/>
    </w:rPr>
  </w:style>
  <w:style w:type="character" w:customStyle="1" w:styleId="Ttulo2Char">
    <w:name w:val="Título 2 Char"/>
    <w:basedOn w:val="Fontepargpadro"/>
    <w:link w:val="Ttulo2"/>
    <w:uiPriority w:val="9"/>
    <w:rsid w:val="00214036"/>
    <w:rPr>
      <w:rFonts w:ascii="Times New Roman" w:eastAsia="Times New Roman" w:hAnsi="Times New Roman" w:cs="Times New Roman"/>
      <w:b/>
      <w:bCs/>
      <w:sz w:val="36"/>
      <w:szCs w:val="36"/>
      <w:lang w:eastAsia="pt-BR"/>
    </w:rPr>
  </w:style>
  <w:style w:type="table" w:styleId="Tabelacomgrade">
    <w:name w:val="Table Grid"/>
    <w:basedOn w:val="Tabelanormal"/>
    <w:uiPriority w:val="59"/>
    <w:rsid w:val="006D0A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har">
    <w:name w:val="Título 1 Char"/>
    <w:basedOn w:val="Fontepargpadro"/>
    <w:link w:val="Ttulo1"/>
    <w:uiPriority w:val="9"/>
    <w:rsid w:val="005E5B9C"/>
    <w:rPr>
      <w:rFonts w:asciiTheme="majorHAnsi" w:eastAsiaTheme="majorEastAsia" w:hAnsiTheme="majorHAnsi" w:cstheme="majorBidi"/>
      <w:b/>
      <w:bCs/>
      <w:color w:val="365F91" w:themeColor="accent1" w:themeShade="BF"/>
      <w:sz w:val="28"/>
      <w:szCs w:val="28"/>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Resumo"/>
    <w:qFormat/>
    <w:rsid w:val="00686B79"/>
    <w:pPr>
      <w:autoSpaceDE w:val="0"/>
      <w:autoSpaceDN w:val="0"/>
      <w:spacing w:after="0" w:line="240" w:lineRule="auto"/>
      <w:jc w:val="both"/>
    </w:pPr>
    <w:rPr>
      <w:rFonts w:ascii="Arial" w:eastAsia="MS Mincho" w:hAnsi="Arial" w:cs="Times New Roman"/>
      <w:sz w:val="20"/>
      <w:szCs w:val="20"/>
      <w:lang w:eastAsia="pt-BR"/>
    </w:rPr>
  </w:style>
  <w:style w:type="paragraph" w:styleId="Ttulo1">
    <w:name w:val="heading 1"/>
    <w:basedOn w:val="Normal"/>
    <w:next w:val="Normal"/>
    <w:link w:val="Ttulo1Char"/>
    <w:uiPriority w:val="9"/>
    <w:qFormat/>
    <w:rsid w:val="005E5B9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har"/>
    <w:uiPriority w:val="9"/>
    <w:qFormat/>
    <w:rsid w:val="00214036"/>
    <w:pPr>
      <w:autoSpaceDE/>
      <w:autoSpaceDN/>
      <w:spacing w:before="100" w:beforeAutospacing="1" w:after="100" w:afterAutospacing="1"/>
      <w:jc w:val="left"/>
      <w:outlineLvl w:val="1"/>
    </w:pPr>
    <w:rPr>
      <w:rFonts w:ascii="Times New Roman" w:eastAsia="Times New Roman" w:hAnsi="Times New Roman"/>
      <w:b/>
      <w:bCs/>
      <w:sz w:val="36"/>
      <w:szCs w:val="36"/>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686B79"/>
    <w:pPr>
      <w:tabs>
        <w:tab w:val="center" w:pos="4419"/>
        <w:tab w:val="right" w:pos="8838"/>
      </w:tabs>
    </w:pPr>
  </w:style>
  <w:style w:type="character" w:customStyle="1" w:styleId="CabealhoChar">
    <w:name w:val="Cabeçalho Char"/>
    <w:basedOn w:val="Fontepargpadro"/>
    <w:link w:val="Cabealho"/>
    <w:uiPriority w:val="99"/>
    <w:rsid w:val="00686B79"/>
    <w:rPr>
      <w:rFonts w:ascii="Arial" w:eastAsia="MS Mincho" w:hAnsi="Arial" w:cs="Times New Roman"/>
      <w:sz w:val="20"/>
      <w:szCs w:val="20"/>
      <w:lang w:eastAsia="pt-BR"/>
    </w:rPr>
  </w:style>
  <w:style w:type="paragraph" w:styleId="Rodap">
    <w:name w:val="footer"/>
    <w:basedOn w:val="Normal"/>
    <w:link w:val="RodapChar"/>
    <w:uiPriority w:val="99"/>
    <w:rsid w:val="00686B79"/>
    <w:pPr>
      <w:tabs>
        <w:tab w:val="center" w:pos="4419"/>
        <w:tab w:val="right" w:pos="8838"/>
      </w:tabs>
    </w:pPr>
  </w:style>
  <w:style w:type="character" w:customStyle="1" w:styleId="RodapChar">
    <w:name w:val="Rodapé Char"/>
    <w:basedOn w:val="Fontepargpadro"/>
    <w:link w:val="Rodap"/>
    <w:uiPriority w:val="99"/>
    <w:rsid w:val="00686B79"/>
    <w:rPr>
      <w:rFonts w:ascii="Arial" w:eastAsia="MS Mincho" w:hAnsi="Arial" w:cs="Times New Roman"/>
      <w:sz w:val="20"/>
      <w:szCs w:val="20"/>
      <w:lang w:eastAsia="pt-BR"/>
    </w:rPr>
  </w:style>
  <w:style w:type="character" w:styleId="Forte">
    <w:name w:val="Strong"/>
    <w:qFormat/>
    <w:rsid w:val="00686B79"/>
    <w:rPr>
      <w:b/>
      <w:bCs/>
    </w:rPr>
  </w:style>
  <w:style w:type="paragraph" w:styleId="NormalWeb">
    <w:name w:val="Normal (Web)"/>
    <w:basedOn w:val="Normal"/>
    <w:uiPriority w:val="99"/>
    <w:unhideWhenUsed/>
    <w:rsid w:val="00686B79"/>
    <w:pPr>
      <w:autoSpaceDE/>
      <w:autoSpaceDN/>
      <w:spacing w:before="100" w:beforeAutospacing="1" w:after="100" w:afterAutospacing="1"/>
      <w:jc w:val="left"/>
    </w:pPr>
    <w:rPr>
      <w:rFonts w:ascii="Times New Roman" w:eastAsia="Times New Roman" w:hAnsi="Times New Roman"/>
      <w:sz w:val="24"/>
      <w:szCs w:val="24"/>
    </w:rPr>
  </w:style>
  <w:style w:type="character" w:styleId="Hyperlink">
    <w:name w:val="Hyperlink"/>
    <w:basedOn w:val="Fontepargpadro"/>
    <w:uiPriority w:val="99"/>
    <w:semiHidden/>
    <w:unhideWhenUsed/>
    <w:rsid w:val="00686B79"/>
    <w:rPr>
      <w:color w:val="0000FF"/>
      <w:u w:val="single"/>
    </w:rPr>
  </w:style>
  <w:style w:type="paragraph" w:customStyle="1" w:styleId="FPCNomedoAutor">
    <w:name w:val="FPC Nome do Autor"/>
    <w:basedOn w:val="Normal"/>
    <w:rsid w:val="00686B79"/>
    <w:pPr>
      <w:autoSpaceDE/>
      <w:autoSpaceDN/>
      <w:spacing w:before="360" w:after="120"/>
      <w:jc w:val="center"/>
    </w:pPr>
    <w:rPr>
      <w:b/>
      <w:sz w:val="24"/>
      <w:szCs w:val="24"/>
    </w:rPr>
  </w:style>
  <w:style w:type="paragraph" w:customStyle="1" w:styleId="FPCTextonormal">
    <w:name w:val="FPC Texto normal"/>
    <w:basedOn w:val="Normal"/>
    <w:rsid w:val="00686B79"/>
    <w:pPr>
      <w:autoSpaceDE/>
      <w:autoSpaceDN/>
      <w:spacing w:before="120" w:after="120"/>
    </w:pPr>
    <w:rPr>
      <w:sz w:val="22"/>
      <w:szCs w:val="24"/>
    </w:rPr>
  </w:style>
  <w:style w:type="paragraph" w:styleId="Ttulo">
    <w:name w:val="Title"/>
    <w:basedOn w:val="Normal"/>
    <w:next w:val="Normal"/>
    <w:link w:val="TtuloChar"/>
    <w:qFormat/>
    <w:rsid w:val="00686B79"/>
    <w:pPr>
      <w:spacing w:line="360" w:lineRule="auto"/>
      <w:jc w:val="center"/>
      <w:outlineLvl w:val="0"/>
    </w:pPr>
    <w:rPr>
      <w:rFonts w:eastAsia="Times New Roman"/>
      <w:b/>
      <w:bCs/>
      <w:caps/>
      <w:kern w:val="28"/>
      <w:sz w:val="28"/>
      <w:szCs w:val="32"/>
    </w:rPr>
  </w:style>
  <w:style w:type="character" w:customStyle="1" w:styleId="TtuloChar">
    <w:name w:val="Título Char"/>
    <w:basedOn w:val="Fontepargpadro"/>
    <w:link w:val="Ttulo"/>
    <w:rsid w:val="00686B79"/>
    <w:rPr>
      <w:rFonts w:ascii="Arial" w:eastAsia="Times New Roman" w:hAnsi="Arial" w:cs="Times New Roman"/>
      <w:b/>
      <w:bCs/>
      <w:caps/>
      <w:kern w:val="28"/>
      <w:sz w:val="28"/>
      <w:szCs w:val="32"/>
      <w:lang w:eastAsia="pt-BR"/>
    </w:rPr>
  </w:style>
  <w:style w:type="paragraph" w:styleId="Subttulo">
    <w:name w:val="Subtitle"/>
    <w:aliases w:val="Citação Direta"/>
    <w:basedOn w:val="Normal"/>
    <w:next w:val="Normal"/>
    <w:link w:val="SubttuloChar"/>
    <w:qFormat/>
    <w:rsid w:val="00686B79"/>
    <w:pPr>
      <w:ind w:left="2268"/>
    </w:pPr>
    <w:rPr>
      <w:rFonts w:eastAsia="Times New Roman"/>
      <w:szCs w:val="24"/>
    </w:rPr>
  </w:style>
  <w:style w:type="character" w:customStyle="1" w:styleId="SubttuloChar">
    <w:name w:val="Subtítulo Char"/>
    <w:aliases w:val="Citação Direta Char"/>
    <w:basedOn w:val="Fontepargpadro"/>
    <w:link w:val="Subttulo"/>
    <w:rsid w:val="00686B79"/>
    <w:rPr>
      <w:rFonts w:ascii="Arial" w:eastAsia="Times New Roman" w:hAnsi="Arial" w:cs="Times New Roman"/>
      <w:sz w:val="20"/>
      <w:szCs w:val="24"/>
      <w:lang w:eastAsia="pt-BR"/>
    </w:rPr>
  </w:style>
  <w:style w:type="paragraph" w:customStyle="1" w:styleId="Seo">
    <w:name w:val="Seção"/>
    <w:basedOn w:val="Normal"/>
    <w:link w:val="SeoChar"/>
    <w:qFormat/>
    <w:rsid w:val="00686B79"/>
    <w:pPr>
      <w:numPr>
        <w:numId w:val="1"/>
      </w:numPr>
    </w:pPr>
    <w:rPr>
      <w:b/>
      <w:sz w:val="24"/>
      <w:szCs w:val="24"/>
    </w:rPr>
  </w:style>
  <w:style w:type="paragraph" w:styleId="SemEspaamento">
    <w:name w:val="No Spacing"/>
    <w:uiPriority w:val="1"/>
    <w:qFormat/>
    <w:rsid w:val="00686B79"/>
    <w:pPr>
      <w:autoSpaceDE w:val="0"/>
      <w:autoSpaceDN w:val="0"/>
      <w:spacing w:after="0" w:line="240" w:lineRule="auto"/>
      <w:ind w:firstLine="709"/>
      <w:jc w:val="both"/>
    </w:pPr>
    <w:rPr>
      <w:rFonts w:ascii="Arial" w:eastAsia="MS Mincho" w:hAnsi="Arial" w:cs="Times New Roman"/>
      <w:sz w:val="24"/>
      <w:szCs w:val="20"/>
      <w:lang w:eastAsia="pt-BR"/>
    </w:rPr>
  </w:style>
  <w:style w:type="character" w:customStyle="1" w:styleId="SeoChar">
    <w:name w:val="Seção Char"/>
    <w:link w:val="Seo"/>
    <w:rsid w:val="00686B79"/>
    <w:rPr>
      <w:rFonts w:ascii="Arial" w:eastAsia="MS Mincho" w:hAnsi="Arial" w:cs="Times New Roman"/>
      <w:b/>
      <w:sz w:val="24"/>
      <w:szCs w:val="24"/>
      <w:lang w:eastAsia="pt-BR"/>
    </w:rPr>
  </w:style>
  <w:style w:type="paragraph" w:styleId="Textodebalo">
    <w:name w:val="Balloon Text"/>
    <w:basedOn w:val="Normal"/>
    <w:link w:val="TextodebaloChar"/>
    <w:uiPriority w:val="99"/>
    <w:semiHidden/>
    <w:unhideWhenUsed/>
    <w:rsid w:val="000C3153"/>
    <w:rPr>
      <w:rFonts w:ascii="Tahoma" w:hAnsi="Tahoma" w:cs="Tahoma"/>
      <w:sz w:val="16"/>
      <w:szCs w:val="16"/>
    </w:rPr>
  </w:style>
  <w:style w:type="character" w:customStyle="1" w:styleId="TextodebaloChar">
    <w:name w:val="Texto de balão Char"/>
    <w:basedOn w:val="Fontepargpadro"/>
    <w:link w:val="Textodebalo"/>
    <w:uiPriority w:val="99"/>
    <w:semiHidden/>
    <w:rsid w:val="000C3153"/>
    <w:rPr>
      <w:rFonts w:ascii="Tahoma" w:eastAsia="MS Mincho" w:hAnsi="Tahoma" w:cs="Tahoma"/>
      <w:sz w:val="16"/>
      <w:szCs w:val="16"/>
      <w:lang w:eastAsia="pt-BR"/>
    </w:rPr>
  </w:style>
  <w:style w:type="character" w:styleId="HiperlinkVisitado">
    <w:name w:val="FollowedHyperlink"/>
    <w:basedOn w:val="Fontepargpadro"/>
    <w:uiPriority w:val="99"/>
    <w:semiHidden/>
    <w:unhideWhenUsed/>
    <w:rsid w:val="00FB427A"/>
    <w:rPr>
      <w:color w:val="800080" w:themeColor="followedHyperlink"/>
      <w:u w:val="single"/>
    </w:rPr>
  </w:style>
  <w:style w:type="character" w:customStyle="1" w:styleId="Ttulo2Char">
    <w:name w:val="Título 2 Char"/>
    <w:basedOn w:val="Fontepargpadro"/>
    <w:link w:val="Ttulo2"/>
    <w:uiPriority w:val="9"/>
    <w:rsid w:val="00214036"/>
    <w:rPr>
      <w:rFonts w:ascii="Times New Roman" w:eastAsia="Times New Roman" w:hAnsi="Times New Roman" w:cs="Times New Roman"/>
      <w:b/>
      <w:bCs/>
      <w:sz w:val="36"/>
      <w:szCs w:val="36"/>
      <w:lang w:eastAsia="pt-BR"/>
    </w:rPr>
  </w:style>
  <w:style w:type="table" w:styleId="Tabelacomgrade">
    <w:name w:val="Table Grid"/>
    <w:basedOn w:val="Tabelanormal"/>
    <w:uiPriority w:val="59"/>
    <w:rsid w:val="006D0A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har">
    <w:name w:val="Título 1 Char"/>
    <w:basedOn w:val="Fontepargpadro"/>
    <w:link w:val="Ttulo1"/>
    <w:uiPriority w:val="9"/>
    <w:rsid w:val="005E5B9C"/>
    <w:rPr>
      <w:rFonts w:asciiTheme="majorHAnsi" w:eastAsiaTheme="majorEastAsia" w:hAnsiTheme="majorHAnsi" w:cstheme="majorBidi"/>
      <w:b/>
      <w:bCs/>
      <w:color w:val="365F91" w:themeColor="accent1" w:themeShade="BF"/>
      <w:sz w:val="28"/>
      <w:szCs w:val="2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98175">
      <w:bodyDiv w:val="1"/>
      <w:marLeft w:val="0"/>
      <w:marRight w:val="0"/>
      <w:marTop w:val="0"/>
      <w:marBottom w:val="0"/>
      <w:divBdr>
        <w:top w:val="none" w:sz="0" w:space="0" w:color="auto"/>
        <w:left w:val="none" w:sz="0" w:space="0" w:color="auto"/>
        <w:bottom w:val="none" w:sz="0" w:space="0" w:color="auto"/>
        <w:right w:val="none" w:sz="0" w:space="0" w:color="auto"/>
      </w:divBdr>
    </w:div>
    <w:div w:id="242301386">
      <w:bodyDiv w:val="1"/>
      <w:marLeft w:val="0"/>
      <w:marRight w:val="0"/>
      <w:marTop w:val="0"/>
      <w:marBottom w:val="0"/>
      <w:divBdr>
        <w:top w:val="none" w:sz="0" w:space="0" w:color="auto"/>
        <w:left w:val="none" w:sz="0" w:space="0" w:color="auto"/>
        <w:bottom w:val="none" w:sz="0" w:space="0" w:color="auto"/>
        <w:right w:val="none" w:sz="0" w:space="0" w:color="auto"/>
      </w:divBdr>
    </w:div>
    <w:div w:id="296683279">
      <w:bodyDiv w:val="1"/>
      <w:marLeft w:val="0"/>
      <w:marRight w:val="0"/>
      <w:marTop w:val="0"/>
      <w:marBottom w:val="0"/>
      <w:divBdr>
        <w:top w:val="none" w:sz="0" w:space="0" w:color="auto"/>
        <w:left w:val="none" w:sz="0" w:space="0" w:color="auto"/>
        <w:bottom w:val="none" w:sz="0" w:space="0" w:color="auto"/>
        <w:right w:val="none" w:sz="0" w:space="0" w:color="auto"/>
      </w:divBdr>
    </w:div>
    <w:div w:id="333069980">
      <w:bodyDiv w:val="1"/>
      <w:marLeft w:val="0"/>
      <w:marRight w:val="0"/>
      <w:marTop w:val="0"/>
      <w:marBottom w:val="0"/>
      <w:divBdr>
        <w:top w:val="none" w:sz="0" w:space="0" w:color="auto"/>
        <w:left w:val="none" w:sz="0" w:space="0" w:color="auto"/>
        <w:bottom w:val="none" w:sz="0" w:space="0" w:color="auto"/>
        <w:right w:val="none" w:sz="0" w:space="0" w:color="auto"/>
      </w:divBdr>
    </w:div>
    <w:div w:id="586352137">
      <w:bodyDiv w:val="1"/>
      <w:marLeft w:val="0"/>
      <w:marRight w:val="0"/>
      <w:marTop w:val="0"/>
      <w:marBottom w:val="0"/>
      <w:divBdr>
        <w:top w:val="none" w:sz="0" w:space="0" w:color="auto"/>
        <w:left w:val="none" w:sz="0" w:space="0" w:color="auto"/>
        <w:bottom w:val="none" w:sz="0" w:space="0" w:color="auto"/>
        <w:right w:val="none" w:sz="0" w:space="0" w:color="auto"/>
      </w:divBdr>
    </w:div>
    <w:div w:id="666322058">
      <w:bodyDiv w:val="1"/>
      <w:marLeft w:val="0"/>
      <w:marRight w:val="0"/>
      <w:marTop w:val="0"/>
      <w:marBottom w:val="0"/>
      <w:divBdr>
        <w:top w:val="none" w:sz="0" w:space="0" w:color="auto"/>
        <w:left w:val="none" w:sz="0" w:space="0" w:color="auto"/>
        <w:bottom w:val="none" w:sz="0" w:space="0" w:color="auto"/>
        <w:right w:val="none" w:sz="0" w:space="0" w:color="auto"/>
      </w:divBdr>
    </w:div>
    <w:div w:id="698896003">
      <w:bodyDiv w:val="1"/>
      <w:marLeft w:val="0"/>
      <w:marRight w:val="0"/>
      <w:marTop w:val="0"/>
      <w:marBottom w:val="0"/>
      <w:divBdr>
        <w:top w:val="none" w:sz="0" w:space="0" w:color="auto"/>
        <w:left w:val="none" w:sz="0" w:space="0" w:color="auto"/>
        <w:bottom w:val="none" w:sz="0" w:space="0" w:color="auto"/>
        <w:right w:val="none" w:sz="0" w:space="0" w:color="auto"/>
      </w:divBdr>
    </w:div>
    <w:div w:id="1219437070">
      <w:bodyDiv w:val="1"/>
      <w:marLeft w:val="0"/>
      <w:marRight w:val="0"/>
      <w:marTop w:val="0"/>
      <w:marBottom w:val="0"/>
      <w:divBdr>
        <w:top w:val="none" w:sz="0" w:space="0" w:color="auto"/>
        <w:left w:val="none" w:sz="0" w:space="0" w:color="auto"/>
        <w:bottom w:val="none" w:sz="0" w:space="0" w:color="auto"/>
        <w:right w:val="none" w:sz="0" w:space="0" w:color="auto"/>
      </w:divBdr>
    </w:div>
    <w:div w:id="1393234808">
      <w:bodyDiv w:val="1"/>
      <w:marLeft w:val="0"/>
      <w:marRight w:val="0"/>
      <w:marTop w:val="0"/>
      <w:marBottom w:val="0"/>
      <w:divBdr>
        <w:top w:val="none" w:sz="0" w:space="0" w:color="auto"/>
        <w:left w:val="none" w:sz="0" w:space="0" w:color="auto"/>
        <w:bottom w:val="none" w:sz="0" w:space="0" w:color="auto"/>
        <w:right w:val="none" w:sz="0" w:space="0" w:color="auto"/>
      </w:divBdr>
    </w:div>
    <w:div w:id="1588155715">
      <w:bodyDiv w:val="1"/>
      <w:marLeft w:val="0"/>
      <w:marRight w:val="0"/>
      <w:marTop w:val="0"/>
      <w:marBottom w:val="0"/>
      <w:divBdr>
        <w:top w:val="none" w:sz="0" w:space="0" w:color="auto"/>
        <w:left w:val="none" w:sz="0" w:space="0" w:color="auto"/>
        <w:bottom w:val="none" w:sz="0" w:space="0" w:color="auto"/>
        <w:right w:val="none" w:sz="0" w:space="0" w:color="auto"/>
      </w:divBdr>
    </w:div>
    <w:div w:id="1604460053">
      <w:bodyDiv w:val="1"/>
      <w:marLeft w:val="0"/>
      <w:marRight w:val="0"/>
      <w:marTop w:val="0"/>
      <w:marBottom w:val="0"/>
      <w:divBdr>
        <w:top w:val="none" w:sz="0" w:space="0" w:color="auto"/>
        <w:left w:val="none" w:sz="0" w:space="0" w:color="auto"/>
        <w:bottom w:val="none" w:sz="0" w:space="0" w:color="auto"/>
        <w:right w:val="none" w:sz="0" w:space="0" w:color="auto"/>
      </w:divBdr>
    </w:div>
    <w:div w:id="1607998293">
      <w:bodyDiv w:val="1"/>
      <w:marLeft w:val="0"/>
      <w:marRight w:val="0"/>
      <w:marTop w:val="0"/>
      <w:marBottom w:val="0"/>
      <w:divBdr>
        <w:top w:val="none" w:sz="0" w:space="0" w:color="auto"/>
        <w:left w:val="none" w:sz="0" w:space="0" w:color="auto"/>
        <w:bottom w:val="none" w:sz="0" w:space="0" w:color="auto"/>
        <w:right w:val="none" w:sz="0" w:space="0" w:color="auto"/>
      </w:divBdr>
    </w:div>
    <w:div w:id="193327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ABACB-FE0A-4DD9-A4D0-B1123277A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1156</TotalTime>
  <Pages>9</Pages>
  <Words>2395</Words>
  <Characters>12933</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AD-2</dc:creator>
  <cp:lastModifiedBy>André Henrique R. Ferreira</cp:lastModifiedBy>
  <cp:revision>45</cp:revision>
  <dcterms:created xsi:type="dcterms:W3CDTF">2019-10-11T14:23:00Z</dcterms:created>
  <dcterms:modified xsi:type="dcterms:W3CDTF">2019-10-17T00:15:00Z</dcterms:modified>
</cp:coreProperties>
</file>