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226A" w14:textId="77777777" w:rsidR="00DC35B6" w:rsidRPr="000C1A6E" w:rsidRDefault="00DC35B6" w:rsidP="00712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720E71" w14:textId="77777777" w:rsidR="00DC35B6" w:rsidRPr="000C1A6E" w:rsidRDefault="00DC35B6" w:rsidP="00712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A0E39D" w14:textId="5D4D6BC7" w:rsidR="00712001" w:rsidRDefault="000443B5" w:rsidP="00712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Potencial energético da m</w:t>
      </w:r>
      <w:r w:rsidR="00550E61">
        <w:rPr>
          <w:rFonts w:ascii="Times New Roman" w:hAnsi="Times New Roman" w:cs="Times New Roman"/>
          <w:b/>
          <w:sz w:val="28"/>
        </w:rPr>
        <w:t>adeira</w:t>
      </w:r>
      <w:r w:rsidR="00BB75C2" w:rsidRPr="00BB75C2">
        <w:rPr>
          <w:rFonts w:ascii="Times New Roman" w:hAnsi="Times New Roman" w:cs="Times New Roman"/>
          <w:b/>
          <w:sz w:val="28"/>
        </w:rPr>
        <w:t xml:space="preserve"> de</w:t>
      </w:r>
      <w:r w:rsidR="005656A2" w:rsidRPr="005656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656A2">
        <w:rPr>
          <w:rFonts w:ascii="Times New Roman" w:hAnsi="Times New Roman" w:cs="Times New Roman"/>
          <w:b/>
          <w:i/>
          <w:sz w:val="28"/>
        </w:rPr>
        <w:t>Tectona</w:t>
      </w:r>
      <w:proofErr w:type="spellEnd"/>
      <w:r w:rsidR="005656A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E560F">
        <w:rPr>
          <w:rFonts w:ascii="Times New Roman" w:hAnsi="Times New Roman" w:cs="Times New Roman"/>
          <w:b/>
          <w:i/>
          <w:sz w:val="28"/>
        </w:rPr>
        <w:t>grandis</w:t>
      </w:r>
      <w:proofErr w:type="spellEnd"/>
      <w:r w:rsidR="000E560F">
        <w:rPr>
          <w:rFonts w:ascii="Times New Roman" w:hAnsi="Times New Roman" w:cs="Times New Roman"/>
          <w:b/>
          <w:sz w:val="28"/>
        </w:rPr>
        <w:t xml:space="preserve"> </w:t>
      </w:r>
      <w:r w:rsidR="000E560F" w:rsidRPr="000E560F">
        <w:rPr>
          <w:rFonts w:ascii="Times New Roman" w:hAnsi="Times New Roman" w:cs="Times New Roman"/>
          <w:b/>
          <w:sz w:val="28"/>
        </w:rPr>
        <w:t>proveniente de desbaste</w:t>
      </w:r>
      <w:r w:rsidR="005656A2" w:rsidRPr="005656A2">
        <w:rPr>
          <w:rFonts w:ascii="Times New Roman" w:hAnsi="Times New Roman" w:cs="Times New Roman"/>
          <w:b/>
          <w:sz w:val="28"/>
        </w:rPr>
        <w:t xml:space="preserve"> </w:t>
      </w:r>
      <w:r w:rsidR="004904E6">
        <w:rPr>
          <w:rFonts w:ascii="Times New Roman" w:hAnsi="Times New Roman" w:cs="Times New Roman"/>
          <w:b/>
          <w:sz w:val="28"/>
        </w:rPr>
        <w:t>florestal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CF02A7A" w14:textId="4C67260D" w:rsidR="00277A5A" w:rsidRDefault="00277A5A" w:rsidP="007120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C2B9398" w14:textId="77777777" w:rsidR="00021D1C" w:rsidRDefault="00021D1C" w:rsidP="007120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321F100" w14:textId="6F32671A" w:rsidR="00712001" w:rsidRDefault="006F3C30" w:rsidP="00712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521A1">
        <w:rPr>
          <w:rFonts w:ascii="Times New Roman" w:hAnsi="Times New Roman" w:cs="Times New Roman"/>
          <w:b/>
          <w:sz w:val="24"/>
          <w:u w:val="single"/>
        </w:rPr>
        <w:t>João Vi</w:t>
      </w:r>
      <w:r>
        <w:rPr>
          <w:rFonts w:ascii="Times New Roman" w:hAnsi="Times New Roman" w:cs="Times New Roman"/>
          <w:b/>
          <w:sz w:val="24"/>
          <w:u w:val="single"/>
        </w:rPr>
        <w:t>c</w:t>
      </w:r>
      <w:r w:rsidRPr="00A521A1">
        <w:rPr>
          <w:rFonts w:ascii="Times New Roman" w:hAnsi="Times New Roman" w:cs="Times New Roman"/>
          <w:b/>
          <w:sz w:val="24"/>
          <w:u w:val="single"/>
        </w:rPr>
        <w:t xml:space="preserve">tor de Almeida Guimarães </w:t>
      </w:r>
      <w:r w:rsidR="006F1048" w:rsidRPr="006F3C30">
        <w:rPr>
          <w:rFonts w:ascii="Times New Roman" w:hAnsi="Times New Roman" w:cs="Times New Roman"/>
          <w:b/>
          <w:sz w:val="24"/>
          <w:u w:val="single"/>
          <w:vertAlign w:val="superscript"/>
        </w:rPr>
        <w:t>1</w:t>
      </w:r>
      <w:r w:rsidR="006F1048" w:rsidRPr="006F3C30">
        <w:rPr>
          <w:rFonts w:ascii="Times New Roman" w:hAnsi="Times New Roman" w:cs="Times New Roman"/>
          <w:b/>
          <w:sz w:val="24"/>
        </w:rPr>
        <w:t>;</w:t>
      </w:r>
      <w:r w:rsidR="00712001" w:rsidRPr="00712001">
        <w:rPr>
          <w:rFonts w:ascii="Times New Roman" w:hAnsi="Times New Roman" w:cs="Times New Roman"/>
          <w:b/>
          <w:sz w:val="24"/>
        </w:rPr>
        <w:t xml:space="preserve"> </w:t>
      </w:r>
      <w:r w:rsidRPr="009518E9">
        <w:rPr>
          <w:rFonts w:ascii="Times New Roman" w:hAnsi="Times New Roman" w:cs="Times New Roman"/>
          <w:b/>
          <w:sz w:val="24"/>
        </w:rPr>
        <w:t xml:space="preserve">João Marcos </w:t>
      </w:r>
      <w:proofErr w:type="spellStart"/>
      <w:r w:rsidRPr="009518E9">
        <w:rPr>
          <w:rFonts w:ascii="Times New Roman" w:hAnsi="Times New Roman" w:cs="Times New Roman"/>
          <w:b/>
          <w:sz w:val="24"/>
        </w:rPr>
        <w:t>Rebessi</w:t>
      </w:r>
      <w:proofErr w:type="spellEnd"/>
      <w:r w:rsidRPr="009518E9">
        <w:rPr>
          <w:rFonts w:ascii="Times New Roman" w:hAnsi="Times New Roman" w:cs="Times New Roman"/>
          <w:b/>
          <w:sz w:val="24"/>
        </w:rPr>
        <w:t xml:space="preserve"> de Sousa</w:t>
      </w:r>
      <w:r w:rsidRPr="00712001" w:rsidDel="006F3C30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712001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854F77">
        <w:rPr>
          <w:rFonts w:ascii="Times New Roman" w:hAnsi="Times New Roman" w:cs="Times New Roman"/>
          <w:b/>
          <w:sz w:val="24"/>
        </w:rPr>
        <w:t>;</w:t>
      </w:r>
      <w:bookmarkStart w:id="0" w:name="_GoBack"/>
      <w:bookmarkEnd w:id="0"/>
      <w:r w:rsidR="00277A5A">
        <w:rPr>
          <w:rFonts w:ascii="Times New Roman" w:hAnsi="Times New Roman" w:cs="Times New Roman"/>
          <w:b/>
          <w:sz w:val="24"/>
        </w:rPr>
        <w:t xml:space="preserve"> </w:t>
      </w:r>
      <w:r w:rsidR="00277A5A" w:rsidRPr="00277A5A">
        <w:rPr>
          <w:rFonts w:ascii="Times New Roman" w:hAnsi="Times New Roman" w:cs="Times New Roman"/>
          <w:b/>
          <w:sz w:val="24"/>
        </w:rPr>
        <w:t xml:space="preserve">Renan </w:t>
      </w:r>
      <w:proofErr w:type="spellStart"/>
      <w:r w:rsidR="00277A5A" w:rsidRPr="00277A5A">
        <w:rPr>
          <w:rFonts w:ascii="Times New Roman" w:hAnsi="Times New Roman" w:cs="Times New Roman"/>
          <w:b/>
          <w:sz w:val="24"/>
        </w:rPr>
        <w:t>Speranza</w:t>
      </w:r>
      <w:proofErr w:type="spellEnd"/>
      <w:r w:rsidR="00277A5A" w:rsidRPr="00277A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77A5A" w:rsidRPr="00277A5A">
        <w:rPr>
          <w:rFonts w:ascii="Times New Roman" w:hAnsi="Times New Roman" w:cs="Times New Roman"/>
          <w:b/>
          <w:sz w:val="24"/>
        </w:rPr>
        <w:t>Mangialardo</w:t>
      </w:r>
      <w:proofErr w:type="spellEnd"/>
      <w:r w:rsidR="00712001" w:rsidRPr="00712001">
        <w:rPr>
          <w:rFonts w:ascii="Times New Roman" w:hAnsi="Times New Roman" w:cs="Times New Roman"/>
          <w:b/>
          <w:sz w:val="24"/>
        </w:rPr>
        <w:t xml:space="preserve"> </w:t>
      </w:r>
      <w:r w:rsidR="00712001" w:rsidRPr="00712001">
        <w:rPr>
          <w:rFonts w:ascii="Times New Roman" w:hAnsi="Times New Roman" w:cs="Times New Roman"/>
          <w:b/>
          <w:sz w:val="24"/>
          <w:vertAlign w:val="superscript"/>
        </w:rPr>
        <w:t>3</w:t>
      </w:r>
      <w:r w:rsidR="00712001" w:rsidRPr="00712001">
        <w:rPr>
          <w:rFonts w:ascii="Times New Roman" w:hAnsi="Times New Roman" w:cs="Times New Roman"/>
          <w:b/>
          <w:sz w:val="24"/>
        </w:rPr>
        <w:t xml:space="preserve">; </w:t>
      </w:r>
      <w:r w:rsidR="00277A5A">
        <w:rPr>
          <w:rFonts w:ascii="Times New Roman" w:hAnsi="Times New Roman" w:cs="Times New Roman"/>
          <w:b/>
          <w:sz w:val="24"/>
        </w:rPr>
        <w:t>Humberto de Jesus Eufrade Junior</w:t>
      </w:r>
      <w:r w:rsidR="00712001" w:rsidRPr="00712001">
        <w:rPr>
          <w:rFonts w:ascii="Times New Roman" w:hAnsi="Times New Roman" w:cs="Times New Roman"/>
          <w:b/>
          <w:sz w:val="24"/>
        </w:rPr>
        <w:t xml:space="preserve"> </w:t>
      </w:r>
      <w:r w:rsidR="00712001" w:rsidRPr="00712001">
        <w:rPr>
          <w:rFonts w:ascii="Times New Roman" w:hAnsi="Times New Roman" w:cs="Times New Roman"/>
          <w:b/>
          <w:sz w:val="24"/>
          <w:vertAlign w:val="superscript"/>
        </w:rPr>
        <w:t>4</w:t>
      </w:r>
    </w:p>
    <w:p w14:paraId="582772D4" w14:textId="77777777" w:rsidR="00712001" w:rsidRDefault="00712001" w:rsidP="00712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</w:p>
    <w:p w14:paraId="7D1C352F" w14:textId="2142C803" w:rsidR="00712001" w:rsidRPr="00021D1C" w:rsidRDefault="00712001" w:rsidP="00021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2001">
        <w:rPr>
          <w:rFonts w:ascii="Times New Roman" w:hAnsi="Times New Roman" w:cs="Times New Roman"/>
          <w:b/>
          <w:sz w:val="24"/>
        </w:rPr>
        <w:t>Resumo</w:t>
      </w:r>
    </w:p>
    <w:p w14:paraId="05C94037" w14:textId="76806FA4" w:rsidR="00712001" w:rsidRDefault="00550E61" w:rsidP="00021D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obtenção de</w:t>
      </w:r>
      <w:r w:rsidR="00021D1C" w:rsidRPr="00021D1C">
        <w:rPr>
          <w:rFonts w:ascii="Times New Roman" w:hAnsi="Times New Roman" w:cs="Times New Roman"/>
          <w:sz w:val="24"/>
        </w:rPr>
        <w:t xml:space="preserve"> um produto de maior valor agregado, </w:t>
      </w:r>
      <w:r>
        <w:rPr>
          <w:rFonts w:ascii="Times New Roman" w:hAnsi="Times New Roman" w:cs="Times New Roman"/>
          <w:sz w:val="24"/>
        </w:rPr>
        <w:t>o manejo silvicultural dos plantios de teca faz o uso de</w:t>
      </w:r>
      <w:r w:rsidR="00021D1C" w:rsidRPr="00021D1C">
        <w:rPr>
          <w:rFonts w:ascii="Times New Roman" w:hAnsi="Times New Roman" w:cs="Times New Roman"/>
          <w:sz w:val="24"/>
        </w:rPr>
        <w:t xml:space="preserve"> desbastes ao longo do seu ciclo e os produtos dest</w:t>
      </w:r>
      <w:r>
        <w:rPr>
          <w:rFonts w:ascii="Times New Roman" w:hAnsi="Times New Roman" w:cs="Times New Roman"/>
          <w:sz w:val="24"/>
        </w:rPr>
        <w:t xml:space="preserve">a operação florestal </w:t>
      </w:r>
      <w:r w:rsidR="00021D1C" w:rsidRPr="00021D1C">
        <w:rPr>
          <w:rFonts w:ascii="Times New Roman" w:hAnsi="Times New Roman" w:cs="Times New Roman"/>
          <w:sz w:val="24"/>
        </w:rPr>
        <w:t xml:space="preserve">podem ser destinados à produção de energia. </w:t>
      </w:r>
      <w:r>
        <w:rPr>
          <w:rFonts w:ascii="Times New Roman" w:hAnsi="Times New Roman" w:cs="Times New Roman"/>
          <w:sz w:val="24"/>
        </w:rPr>
        <w:t xml:space="preserve">Este </w:t>
      </w:r>
      <w:r w:rsidR="00021D1C" w:rsidRPr="00021D1C">
        <w:rPr>
          <w:rFonts w:ascii="Times New Roman" w:hAnsi="Times New Roman" w:cs="Times New Roman"/>
          <w:sz w:val="24"/>
        </w:rPr>
        <w:t xml:space="preserve">estudo </w:t>
      </w:r>
      <w:r>
        <w:rPr>
          <w:rFonts w:ascii="Times New Roman" w:hAnsi="Times New Roman" w:cs="Times New Roman"/>
          <w:sz w:val="24"/>
        </w:rPr>
        <w:t>teve como</w:t>
      </w:r>
      <w:r w:rsidR="00021D1C" w:rsidRPr="00021D1C">
        <w:rPr>
          <w:rFonts w:ascii="Times New Roman" w:hAnsi="Times New Roman" w:cs="Times New Roman"/>
          <w:sz w:val="24"/>
        </w:rPr>
        <w:t xml:space="preserve"> objetivo determinar a</w:t>
      </w:r>
      <w:r>
        <w:rPr>
          <w:rFonts w:ascii="Times New Roman" w:hAnsi="Times New Roman" w:cs="Times New Roman"/>
          <w:sz w:val="24"/>
        </w:rPr>
        <w:t xml:space="preserve"> produção</w:t>
      </w:r>
      <w:r w:rsidR="00021D1C" w:rsidRPr="00021D1C">
        <w:rPr>
          <w:rFonts w:ascii="Times New Roman" w:hAnsi="Times New Roman" w:cs="Times New Roman"/>
          <w:sz w:val="24"/>
        </w:rPr>
        <w:t xml:space="preserve"> e o potencial energético oriundos d</w:t>
      </w:r>
      <w:r>
        <w:rPr>
          <w:rFonts w:ascii="Times New Roman" w:hAnsi="Times New Roman" w:cs="Times New Roman"/>
          <w:sz w:val="24"/>
        </w:rPr>
        <w:t>a madeira de</w:t>
      </w:r>
      <w:r w:rsidR="00021D1C" w:rsidRPr="00021D1C">
        <w:rPr>
          <w:rFonts w:ascii="Times New Roman" w:hAnsi="Times New Roman" w:cs="Times New Roman"/>
          <w:sz w:val="24"/>
        </w:rPr>
        <w:t xml:space="preserve"> desbaste de um povo</w:t>
      </w:r>
      <w:r w:rsidR="00021D1C">
        <w:rPr>
          <w:rFonts w:ascii="Times New Roman" w:hAnsi="Times New Roman" w:cs="Times New Roman"/>
          <w:sz w:val="24"/>
        </w:rPr>
        <w:t>amento de Teca (</w:t>
      </w:r>
      <w:r w:rsidR="00021D1C" w:rsidRPr="00021D1C">
        <w:rPr>
          <w:rFonts w:ascii="Times New Roman" w:hAnsi="Times New Roman" w:cs="Times New Roman"/>
          <w:i/>
          <w:sz w:val="24"/>
        </w:rPr>
        <w:t>Tectona grandis</w:t>
      </w:r>
      <w:r w:rsidR="00021D1C" w:rsidRPr="00021D1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021D1C" w:rsidRPr="00021D1C">
        <w:rPr>
          <w:rFonts w:ascii="Times New Roman" w:hAnsi="Times New Roman" w:cs="Times New Roman"/>
          <w:sz w:val="24"/>
        </w:rPr>
        <w:t>localizad</w:t>
      </w:r>
      <w:r>
        <w:rPr>
          <w:rFonts w:ascii="Times New Roman" w:hAnsi="Times New Roman" w:cs="Times New Roman"/>
          <w:sz w:val="24"/>
        </w:rPr>
        <w:t>o</w:t>
      </w:r>
      <w:r w:rsidR="00021D1C" w:rsidRPr="00021D1C">
        <w:rPr>
          <w:rFonts w:ascii="Times New Roman" w:hAnsi="Times New Roman" w:cs="Times New Roman"/>
          <w:sz w:val="24"/>
        </w:rPr>
        <w:t xml:space="preserve"> em Botucatu, região </w:t>
      </w:r>
      <w:r>
        <w:rPr>
          <w:rFonts w:ascii="Times New Roman" w:hAnsi="Times New Roman" w:cs="Times New Roman"/>
          <w:sz w:val="24"/>
        </w:rPr>
        <w:t>C</w:t>
      </w:r>
      <w:r w:rsidR="00021D1C" w:rsidRPr="00021D1C">
        <w:rPr>
          <w:rFonts w:ascii="Times New Roman" w:hAnsi="Times New Roman" w:cs="Times New Roman"/>
          <w:sz w:val="24"/>
        </w:rPr>
        <w:t>entro</w:t>
      </w:r>
      <w:r>
        <w:rPr>
          <w:rFonts w:ascii="Times New Roman" w:hAnsi="Times New Roman" w:cs="Times New Roman"/>
          <w:sz w:val="24"/>
        </w:rPr>
        <w:t>-S</w:t>
      </w:r>
      <w:r w:rsidR="00021D1C" w:rsidRPr="00021D1C">
        <w:rPr>
          <w:rFonts w:ascii="Times New Roman" w:hAnsi="Times New Roman" w:cs="Times New Roman"/>
          <w:sz w:val="24"/>
        </w:rPr>
        <w:t>ul do Estado de São Paulo. A determinação da biomassa e do potencial energético foram feitos por meio do produto entre o volume de madeira (m³ ha</w:t>
      </w:r>
      <w:r w:rsidR="00021D1C" w:rsidRPr="00021D1C">
        <w:rPr>
          <w:rFonts w:ascii="Times New Roman" w:hAnsi="Times New Roman" w:cs="Times New Roman"/>
          <w:sz w:val="24"/>
          <w:vertAlign w:val="superscript"/>
        </w:rPr>
        <w:t>-1</w:t>
      </w:r>
      <w:r w:rsidR="00021D1C" w:rsidRPr="00021D1C">
        <w:rPr>
          <w:rFonts w:ascii="Times New Roman" w:hAnsi="Times New Roman" w:cs="Times New Roman"/>
          <w:sz w:val="24"/>
        </w:rPr>
        <w:t>) e a densidade básica (kg m</w:t>
      </w:r>
      <w:r w:rsidR="00021D1C" w:rsidRPr="00021D1C">
        <w:rPr>
          <w:rFonts w:ascii="Times New Roman" w:hAnsi="Times New Roman" w:cs="Times New Roman"/>
          <w:sz w:val="24"/>
          <w:vertAlign w:val="superscript"/>
        </w:rPr>
        <w:t>-3</w:t>
      </w:r>
      <w:r w:rsidR="00021D1C" w:rsidRPr="00021D1C">
        <w:rPr>
          <w:rFonts w:ascii="Times New Roman" w:hAnsi="Times New Roman" w:cs="Times New Roman"/>
          <w:sz w:val="24"/>
        </w:rPr>
        <w:t>), e do poder calorífico superior (MJ kg</w:t>
      </w:r>
      <w:r w:rsidR="00021D1C" w:rsidRPr="00021D1C">
        <w:rPr>
          <w:rFonts w:ascii="Times New Roman" w:hAnsi="Times New Roman" w:cs="Times New Roman"/>
          <w:sz w:val="24"/>
          <w:vertAlign w:val="superscript"/>
        </w:rPr>
        <w:t>-1</w:t>
      </w:r>
      <w:r w:rsidR="00021D1C" w:rsidRPr="00021D1C">
        <w:rPr>
          <w:rFonts w:ascii="Times New Roman" w:hAnsi="Times New Roman" w:cs="Times New Roman"/>
          <w:sz w:val="24"/>
        </w:rPr>
        <w:t>) e a biomassa seca (kg ha</w:t>
      </w:r>
      <w:r w:rsidR="00021D1C" w:rsidRPr="00021D1C">
        <w:rPr>
          <w:rFonts w:ascii="Times New Roman" w:hAnsi="Times New Roman" w:cs="Times New Roman"/>
          <w:sz w:val="24"/>
          <w:vertAlign w:val="superscript"/>
        </w:rPr>
        <w:t>-1</w:t>
      </w:r>
      <w:r w:rsidR="00021D1C" w:rsidRPr="00021D1C">
        <w:rPr>
          <w:rFonts w:ascii="Times New Roman" w:hAnsi="Times New Roman" w:cs="Times New Roman"/>
          <w:sz w:val="24"/>
        </w:rPr>
        <w:t xml:space="preserve">), respectivamente. </w:t>
      </w:r>
      <w:r>
        <w:rPr>
          <w:rFonts w:ascii="Times New Roman" w:hAnsi="Times New Roman" w:cs="Times New Roman"/>
          <w:sz w:val="24"/>
        </w:rPr>
        <w:t>O desbaste por baixo da</w:t>
      </w:r>
      <w:r w:rsidR="00021D1C" w:rsidRPr="00021D1C">
        <w:rPr>
          <w:rFonts w:ascii="Times New Roman" w:hAnsi="Times New Roman" w:cs="Times New Roman"/>
          <w:sz w:val="24"/>
        </w:rPr>
        <w:t xml:space="preserve"> espécie</w:t>
      </w:r>
      <w:r>
        <w:rPr>
          <w:rFonts w:ascii="Times New Roman" w:hAnsi="Times New Roman" w:cs="Times New Roman"/>
          <w:sz w:val="24"/>
        </w:rPr>
        <w:t xml:space="preserve"> produziu </w:t>
      </w:r>
      <w:r w:rsidR="00021D1C" w:rsidRPr="00021D1C">
        <w:rPr>
          <w:rFonts w:ascii="Times New Roman" w:hAnsi="Times New Roman" w:cs="Times New Roman"/>
          <w:sz w:val="24"/>
        </w:rPr>
        <w:t>8,39 t ha</w:t>
      </w:r>
      <w:r w:rsidR="00021D1C" w:rsidRPr="00021D1C">
        <w:rPr>
          <w:rFonts w:ascii="Times New Roman" w:hAnsi="Times New Roman" w:cs="Times New Roman"/>
          <w:sz w:val="24"/>
          <w:vertAlign w:val="superscript"/>
        </w:rPr>
        <w:t>-1</w:t>
      </w:r>
      <w:r w:rsidR="00021D1C" w:rsidRPr="00021D1C">
        <w:rPr>
          <w:rFonts w:ascii="Times New Roman" w:hAnsi="Times New Roman" w:cs="Times New Roman"/>
          <w:sz w:val="24"/>
        </w:rPr>
        <w:t xml:space="preserve"> de biomassa </w:t>
      </w:r>
      <w:r>
        <w:rPr>
          <w:rFonts w:ascii="Times New Roman" w:hAnsi="Times New Roman" w:cs="Times New Roman"/>
          <w:sz w:val="24"/>
        </w:rPr>
        <w:t xml:space="preserve">lenhosa </w:t>
      </w:r>
      <w:r w:rsidR="00021D1C" w:rsidRPr="00021D1C">
        <w:rPr>
          <w:rFonts w:ascii="Times New Roman" w:hAnsi="Times New Roman" w:cs="Times New Roman"/>
          <w:sz w:val="24"/>
        </w:rPr>
        <w:t>e um potencial energético de 167,</w:t>
      </w:r>
      <w:r>
        <w:rPr>
          <w:rFonts w:ascii="Times New Roman" w:hAnsi="Times New Roman" w:cs="Times New Roman"/>
          <w:sz w:val="24"/>
        </w:rPr>
        <w:t>4</w:t>
      </w:r>
      <w:r w:rsidR="00021D1C" w:rsidRPr="00021D1C">
        <w:rPr>
          <w:rFonts w:ascii="Times New Roman" w:hAnsi="Times New Roman" w:cs="Times New Roman"/>
          <w:sz w:val="24"/>
        </w:rPr>
        <w:t xml:space="preserve"> GJ ha</w:t>
      </w:r>
      <w:r w:rsidR="00021D1C" w:rsidRPr="00021D1C">
        <w:rPr>
          <w:rFonts w:ascii="Times New Roman" w:hAnsi="Times New Roman" w:cs="Times New Roman"/>
          <w:sz w:val="24"/>
          <w:vertAlign w:val="superscript"/>
        </w:rPr>
        <w:t>-1</w:t>
      </w:r>
      <w:r w:rsidR="00021D1C" w:rsidRPr="00021D1C">
        <w:rPr>
          <w:rFonts w:ascii="Times New Roman" w:hAnsi="Times New Roman" w:cs="Times New Roman"/>
          <w:sz w:val="24"/>
        </w:rPr>
        <w:t>.</w:t>
      </w:r>
    </w:p>
    <w:p w14:paraId="14B128D8" w14:textId="77777777" w:rsidR="00DC35B6" w:rsidRDefault="00DC35B6" w:rsidP="00712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78960C" w14:textId="26E9401D" w:rsidR="00712001" w:rsidRPr="00F97971" w:rsidRDefault="00712001" w:rsidP="007120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71">
        <w:rPr>
          <w:rFonts w:ascii="Times New Roman" w:hAnsi="Times New Roman" w:cs="Times New Roman"/>
          <w:sz w:val="24"/>
        </w:rPr>
        <w:t xml:space="preserve">PALAVRAS-CHAVE: </w:t>
      </w:r>
      <w:r w:rsidR="004D6B30" w:rsidRPr="00F97971">
        <w:rPr>
          <w:rFonts w:ascii="Times New Roman" w:hAnsi="Times New Roman" w:cs="Times New Roman"/>
          <w:sz w:val="24"/>
        </w:rPr>
        <w:t xml:space="preserve">mensuração florestal, densidade básica, </w:t>
      </w:r>
      <w:r w:rsidR="000443B5">
        <w:rPr>
          <w:rFonts w:ascii="Times New Roman" w:hAnsi="Times New Roman" w:cs="Times New Roman"/>
          <w:sz w:val="24"/>
        </w:rPr>
        <w:t>energia da biomassa</w:t>
      </w:r>
      <w:r w:rsidR="004D6B30" w:rsidRPr="00F97971">
        <w:rPr>
          <w:rFonts w:ascii="Times New Roman" w:hAnsi="Times New Roman" w:cs="Times New Roman"/>
          <w:sz w:val="24"/>
        </w:rPr>
        <w:t>.</w:t>
      </w:r>
    </w:p>
    <w:p w14:paraId="0C213150" w14:textId="77777777" w:rsidR="008155CC" w:rsidRPr="00F97971" w:rsidRDefault="008155CC" w:rsidP="00DC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7DF582" w14:textId="1FE921CF" w:rsidR="003F10B1" w:rsidRPr="00F97971" w:rsidRDefault="00DC35B6" w:rsidP="00DC35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7971">
        <w:rPr>
          <w:rFonts w:ascii="Times New Roman" w:hAnsi="Times New Roman" w:cs="Times New Roman"/>
          <w:sz w:val="18"/>
          <w:szCs w:val="18"/>
        </w:rPr>
        <w:t>1.</w:t>
      </w:r>
      <w:r w:rsidR="00134551" w:rsidRPr="00F97971">
        <w:rPr>
          <w:rFonts w:ascii="Times New Roman" w:hAnsi="Times New Roman" w:cs="Times New Roman"/>
          <w:sz w:val="18"/>
          <w:szCs w:val="18"/>
        </w:rPr>
        <w:t xml:space="preserve">Graduando em Engenharia Florestal </w:t>
      </w:r>
      <w:r w:rsidR="00712AA8" w:rsidRPr="00F97971">
        <w:rPr>
          <w:rFonts w:ascii="Times New Roman" w:hAnsi="Times New Roman" w:cs="Times New Roman"/>
          <w:sz w:val="18"/>
          <w:szCs w:val="18"/>
        </w:rPr>
        <w:t>– Universidade Estadual Paulista (UNESP)</w:t>
      </w:r>
      <w:r w:rsidR="00712AA8">
        <w:rPr>
          <w:rFonts w:ascii="Times New Roman" w:hAnsi="Times New Roman" w:cs="Times New Roman"/>
          <w:sz w:val="18"/>
          <w:szCs w:val="18"/>
        </w:rPr>
        <w:t>,</w:t>
      </w:r>
      <w:r w:rsidR="00712AA8" w:rsidRPr="00F97971">
        <w:rPr>
          <w:rFonts w:ascii="Times New Roman" w:hAnsi="Times New Roman" w:cs="Times New Roman"/>
          <w:sz w:val="18"/>
          <w:szCs w:val="18"/>
        </w:rPr>
        <w:t xml:space="preserve"> Faculdade de Ciências Agronômicas</w:t>
      </w:r>
      <w:r w:rsidR="00712AA8">
        <w:rPr>
          <w:rFonts w:ascii="Times New Roman" w:hAnsi="Times New Roman" w:cs="Times New Roman"/>
          <w:sz w:val="18"/>
          <w:szCs w:val="18"/>
        </w:rPr>
        <w:t> </w:t>
      </w:r>
      <w:r w:rsidR="00712AA8" w:rsidRPr="00F97971">
        <w:rPr>
          <w:rFonts w:ascii="Times New Roman" w:hAnsi="Times New Roman" w:cs="Times New Roman"/>
          <w:sz w:val="18"/>
          <w:szCs w:val="18"/>
        </w:rPr>
        <w:t>(FCA)</w:t>
      </w:r>
      <w:r w:rsidR="00134551" w:rsidRPr="00F97971">
        <w:rPr>
          <w:rFonts w:ascii="Times New Roman" w:hAnsi="Times New Roman" w:cs="Times New Roman"/>
          <w:sz w:val="18"/>
          <w:szCs w:val="18"/>
        </w:rPr>
        <w:t>, Botucatu, São Paulo, Brasil,</w:t>
      </w:r>
      <w:r w:rsidR="003F10B1" w:rsidRPr="00F97971">
        <w:rPr>
          <w:rFonts w:ascii="Times New Roman" w:hAnsi="Times New Roman" w:cs="Times New Roman"/>
          <w:sz w:val="18"/>
          <w:szCs w:val="18"/>
        </w:rPr>
        <w:t xml:space="preserve"> almeidaguiimaraes@gmail.com</w:t>
      </w:r>
    </w:p>
    <w:p w14:paraId="7389D996" w14:textId="4DC2BDB1" w:rsidR="003F10B1" w:rsidRPr="00F97971" w:rsidRDefault="003F10B1" w:rsidP="00DC35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7971">
        <w:rPr>
          <w:rFonts w:ascii="Times New Roman" w:hAnsi="Times New Roman" w:cs="Times New Roman"/>
          <w:sz w:val="18"/>
          <w:szCs w:val="18"/>
        </w:rPr>
        <w:t xml:space="preserve">2.Graduando em Engenharia Florestal </w:t>
      </w:r>
      <w:r w:rsidR="00712AA8" w:rsidRPr="00F97971">
        <w:rPr>
          <w:rFonts w:ascii="Times New Roman" w:hAnsi="Times New Roman" w:cs="Times New Roman"/>
          <w:sz w:val="18"/>
          <w:szCs w:val="18"/>
        </w:rPr>
        <w:t>– Universidade Estadual Paulista (UNESP)</w:t>
      </w:r>
      <w:r w:rsidR="00712AA8">
        <w:rPr>
          <w:rFonts w:ascii="Times New Roman" w:hAnsi="Times New Roman" w:cs="Times New Roman"/>
          <w:sz w:val="18"/>
          <w:szCs w:val="18"/>
        </w:rPr>
        <w:t xml:space="preserve">, </w:t>
      </w:r>
      <w:r w:rsidR="00712AA8" w:rsidRPr="00F97971">
        <w:rPr>
          <w:rFonts w:ascii="Times New Roman" w:hAnsi="Times New Roman" w:cs="Times New Roman"/>
          <w:sz w:val="18"/>
          <w:szCs w:val="18"/>
        </w:rPr>
        <w:t>Faculdade de Ciências Agronômicas</w:t>
      </w:r>
      <w:r w:rsidR="00712AA8">
        <w:rPr>
          <w:rFonts w:ascii="Times New Roman" w:hAnsi="Times New Roman" w:cs="Times New Roman"/>
          <w:sz w:val="18"/>
          <w:szCs w:val="18"/>
        </w:rPr>
        <w:t> </w:t>
      </w:r>
      <w:r w:rsidR="00712AA8" w:rsidRPr="00F97971">
        <w:rPr>
          <w:rFonts w:ascii="Times New Roman" w:hAnsi="Times New Roman" w:cs="Times New Roman"/>
          <w:sz w:val="18"/>
          <w:szCs w:val="18"/>
        </w:rPr>
        <w:t>(FCA)</w:t>
      </w:r>
      <w:r w:rsidRPr="00F97971">
        <w:rPr>
          <w:rFonts w:ascii="Times New Roman" w:hAnsi="Times New Roman" w:cs="Times New Roman"/>
          <w:sz w:val="18"/>
          <w:szCs w:val="18"/>
        </w:rPr>
        <w:t>, Botucatu, São Paulo, Brasi</w:t>
      </w:r>
      <w:r w:rsidR="00712AA8">
        <w:rPr>
          <w:rFonts w:ascii="Times New Roman" w:hAnsi="Times New Roman" w:cs="Times New Roman"/>
          <w:sz w:val="18"/>
          <w:szCs w:val="18"/>
        </w:rPr>
        <w:t>l</w:t>
      </w:r>
      <w:r w:rsidRPr="00F97971">
        <w:rPr>
          <w:rFonts w:ascii="Times New Roman" w:hAnsi="Times New Roman" w:cs="Times New Roman"/>
          <w:sz w:val="18"/>
          <w:szCs w:val="18"/>
        </w:rPr>
        <w:t>, joaomrds@outlook.com</w:t>
      </w:r>
    </w:p>
    <w:p w14:paraId="533B07CE" w14:textId="42F411AF" w:rsidR="003F10B1" w:rsidRPr="00F97971" w:rsidRDefault="003F10B1" w:rsidP="00FB7E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7971">
        <w:rPr>
          <w:rFonts w:ascii="Times New Roman" w:hAnsi="Times New Roman" w:cs="Times New Roman"/>
          <w:sz w:val="18"/>
          <w:szCs w:val="18"/>
        </w:rPr>
        <w:t xml:space="preserve">3.Graduando em Engenharia Florestal </w:t>
      </w:r>
      <w:r w:rsidR="00712AA8" w:rsidRPr="00F97971">
        <w:rPr>
          <w:rFonts w:ascii="Times New Roman" w:hAnsi="Times New Roman" w:cs="Times New Roman"/>
          <w:sz w:val="18"/>
          <w:szCs w:val="18"/>
        </w:rPr>
        <w:t>– Universidade Estadual Paulista (UNESP)</w:t>
      </w:r>
      <w:r w:rsidR="00712AA8">
        <w:rPr>
          <w:rFonts w:ascii="Times New Roman" w:hAnsi="Times New Roman" w:cs="Times New Roman"/>
          <w:sz w:val="18"/>
          <w:szCs w:val="18"/>
        </w:rPr>
        <w:t xml:space="preserve">, </w:t>
      </w:r>
      <w:r w:rsidR="00712AA8" w:rsidRPr="00F97971">
        <w:rPr>
          <w:rFonts w:ascii="Times New Roman" w:hAnsi="Times New Roman" w:cs="Times New Roman"/>
          <w:sz w:val="18"/>
          <w:szCs w:val="18"/>
        </w:rPr>
        <w:t>Faculdade de Ciências Agronômicas</w:t>
      </w:r>
      <w:r w:rsidR="00712AA8">
        <w:rPr>
          <w:rFonts w:ascii="Times New Roman" w:hAnsi="Times New Roman" w:cs="Times New Roman"/>
          <w:sz w:val="18"/>
          <w:szCs w:val="18"/>
        </w:rPr>
        <w:t> </w:t>
      </w:r>
      <w:r w:rsidR="00712AA8" w:rsidRPr="00F97971">
        <w:rPr>
          <w:rFonts w:ascii="Times New Roman" w:hAnsi="Times New Roman" w:cs="Times New Roman"/>
          <w:sz w:val="18"/>
          <w:szCs w:val="18"/>
        </w:rPr>
        <w:t>(FCA)</w:t>
      </w:r>
      <w:r w:rsidRPr="00F97971">
        <w:rPr>
          <w:rFonts w:ascii="Times New Roman" w:hAnsi="Times New Roman" w:cs="Times New Roman"/>
          <w:sz w:val="18"/>
          <w:szCs w:val="18"/>
        </w:rPr>
        <w:t>, Botucatu, São Paulo, Brasil, rsmangialardo@gmail.com</w:t>
      </w:r>
    </w:p>
    <w:p w14:paraId="7D6562F1" w14:textId="28572D02" w:rsidR="00FB7E8F" w:rsidRPr="00F97971" w:rsidRDefault="00FB7E8F" w:rsidP="00FB7E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7971">
        <w:rPr>
          <w:rFonts w:ascii="Times New Roman" w:hAnsi="Times New Roman" w:cs="Times New Roman"/>
          <w:sz w:val="18"/>
          <w:szCs w:val="18"/>
        </w:rPr>
        <w:t>4.Doutor em Ciência Florestal – Universidade Estadual Paulista (UNESP)</w:t>
      </w:r>
      <w:r w:rsidR="00712AA8">
        <w:rPr>
          <w:rFonts w:ascii="Times New Roman" w:hAnsi="Times New Roman" w:cs="Times New Roman"/>
          <w:sz w:val="18"/>
          <w:szCs w:val="18"/>
        </w:rPr>
        <w:t xml:space="preserve">, </w:t>
      </w:r>
      <w:r w:rsidRPr="00F97971">
        <w:rPr>
          <w:rFonts w:ascii="Times New Roman" w:hAnsi="Times New Roman" w:cs="Times New Roman"/>
          <w:sz w:val="18"/>
          <w:szCs w:val="18"/>
        </w:rPr>
        <w:t xml:space="preserve">Faculdade de Ciências Agronômicas (FCA), Botucatu, São Paulo, </w:t>
      </w:r>
      <w:r w:rsidR="00712AA8">
        <w:rPr>
          <w:rFonts w:ascii="Times New Roman" w:hAnsi="Times New Roman" w:cs="Times New Roman"/>
          <w:sz w:val="18"/>
          <w:szCs w:val="18"/>
        </w:rPr>
        <w:t xml:space="preserve">Brasil, </w:t>
      </w:r>
      <w:r w:rsidRPr="00F97971">
        <w:rPr>
          <w:rFonts w:ascii="Times New Roman" w:hAnsi="Times New Roman" w:cs="Times New Roman"/>
          <w:sz w:val="18"/>
          <w:szCs w:val="18"/>
        </w:rPr>
        <w:t>e-mail: h.eufrade@unesp.br</w:t>
      </w:r>
    </w:p>
    <w:p w14:paraId="47F42CBE" w14:textId="77777777" w:rsidR="00FB7E8F" w:rsidRDefault="00FB7E8F" w:rsidP="00DC35B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6C8C286" w14:textId="77777777" w:rsidR="00DC35B6" w:rsidRDefault="00DC35B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4EDB7003" w14:textId="77777777" w:rsidR="00DC35B6" w:rsidRDefault="00DC35B6" w:rsidP="00DC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364FB0E" w14:textId="77777777" w:rsidR="00DC35B6" w:rsidRDefault="00DC35B6" w:rsidP="00DC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DC35B6" w:rsidSect="00FF009A">
          <w:headerReference w:type="default" r:id="rId6"/>
          <w:footerReference w:type="default" r:id="rId7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p w14:paraId="64002B5D" w14:textId="77777777" w:rsidR="00DC35B6" w:rsidRDefault="00DC35B6" w:rsidP="00DC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Introdução</w:t>
      </w:r>
    </w:p>
    <w:p w14:paraId="758C8279" w14:textId="357B0CF3" w:rsidR="000B7D4A" w:rsidRDefault="003F18EB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947E3F">
        <w:rPr>
          <w:rFonts w:ascii="Times New Roman" w:hAnsi="Times New Roman" w:cs="Times New Roman"/>
          <w:sz w:val="24"/>
        </w:rPr>
        <w:t>t</w:t>
      </w:r>
      <w:r w:rsidR="00420579" w:rsidRPr="00420579">
        <w:rPr>
          <w:rFonts w:ascii="Times New Roman" w:hAnsi="Times New Roman" w:cs="Times New Roman"/>
          <w:sz w:val="24"/>
        </w:rPr>
        <w:t>eca (</w:t>
      </w:r>
      <w:proofErr w:type="spellStart"/>
      <w:r w:rsidR="00420579" w:rsidRPr="003F18EB">
        <w:rPr>
          <w:rFonts w:ascii="Times New Roman" w:hAnsi="Times New Roman" w:cs="Times New Roman"/>
          <w:i/>
          <w:sz w:val="24"/>
        </w:rPr>
        <w:t>Tectona</w:t>
      </w:r>
      <w:proofErr w:type="spellEnd"/>
      <w:r w:rsidR="00420579" w:rsidRPr="003F18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20579" w:rsidRPr="003F18EB">
        <w:rPr>
          <w:rFonts w:ascii="Times New Roman" w:hAnsi="Times New Roman" w:cs="Times New Roman"/>
          <w:i/>
          <w:sz w:val="24"/>
        </w:rPr>
        <w:t>grandis</w:t>
      </w:r>
      <w:proofErr w:type="spellEnd"/>
      <w:r w:rsidR="008D6C5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D6C58">
        <w:rPr>
          <w:rFonts w:ascii="Times New Roman" w:hAnsi="Times New Roman" w:cs="Times New Roman"/>
          <w:iCs/>
          <w:sz w:val="24"/>
        </w:rPr>
        <w:t>Linn</w:t>
      </w:r>
      <w:proofErr w:type="spellEnd"/>
      <w:r w:rsidR="008D6C58">
        <w:rPr>
          <w:rFonts w:ascii="Times New Roman" w:hAnsi="Times New Roman" w:cs="Times New Roman"/>
          <w:iCs/>
          <w:sz w:val="24"/>
        </w:rPr>
        <w:t xml:space="preserve"> F.</w:t>
      </w:r>
      <w:r w:rsidR="00420579" w:rsidRPr="00420579">
        <w:rPr>
          <w:rFonts w:ascii="Times New Roman" w:hAnsi="Times New Roman" w:cs="Times New Roman"/>
          <w:sz w:val="24"/>
        </w:rPr>
        <w:t xml:space="preserve">), espécie da </w:t>
      </w:r>
      <w:r w:rsidR="000A135D">
        <w:rPr>
          <w:rFonts w:ascii="Times New Roman" w:hAnsi="Times New Roman" w:cs="Times New Roman"/>
          <w:sz w:val="24"/>
        </w:rPr>
        <w:t>f</w:t>
      </w:r>
      <w:r w:rsidR="00420579" w:rsidRPr="00420579">
        <w:rPr>
          <w:rFonts w:ascii="Times New Roman" w:hAnsi="Times New Roman" w:cs="Times New Roman"/>
          <w:sz w:val="24"/>
        </w:rPr>
        <w:t xml:space="preserve">amília </w:t>
      </w:r>
      <w:proofErr w:type="spellStart"/>
      <w:r w:rsidR="00420579" w:rsidRPr="00420579">
        <w:rPr>
          <w:rFonts w:ascii="Times New Roman" w:hAnsi="Times New Roman" w:cs="Times New Roman"/>
          <w:sz w:val="24"/>
        </w:rPr>
        <w:t>Verbenaceae</w:t>
      </w:r>
      <w:proofErr w:type="spellEnd"/>
      <w:r w:rsidR="00420579" w:rsidRPr="00420579">
        <w:rPr>
          <w:rFonts w:ascii="Times New Roman" w:hAnsi="Times New Roman" w:cs="Times New Roman"/>
          <w:sz w:val="24"/>
        </w:rPr>
        <w:t xml:space="preserve"> é originária da região peninsular do sul e sudeste da Ásia (VIEIRA et al., 2019), conhecida por apresentar clima de monções com inverno seco e verão úmido (COIMBRA et al., 2014), tornou-se uma das árvores mais cultivadas ao longo dos anos no Brasil, com 93.957 hectares em 2018 (IBÁ, 2019).</w:t>
      </w:r>
      <w:r w:rsidR="000B7D4A">
        <w:rPr>
          <w:rFonts w:ascii="Times New Roman" w:hAnsi="Times New Roman" w:cs="Times New Roman"/>
          <w:sz w:val="24"/>
        </w:rPr>
        <w:t xml:space="preserve"> </w:t>
      </w:r>
      <w:r w:rsidR="00420579" w:rsidRPr="00420579">
        <w:rPr>
          <w:rFonts w:ascii="Times New Roman" w:hAnsi="Times New Roman" w:cs="Times New Roman"/>
          <w:sz w:val="24"/>
        </w:rPr>
        <w:t xml:space="preserve"> </w:t>
      </w:r>
    </w:p>
    <w:p w14:paraId="2A76472E" w14:textId="29486981" w:rsidR="00420579" w:rsidRPr="00420579" w:rsidRDefault="00420579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20579">
        <w:rPr>
          <w:rFonts w:ascii="Times New Roman" w:hAnsi="Times New Roman" w:cs="Times New Roman"/>
          <w:sz w:val="24"/>
        </w:rPr>
        <w:t>Devido as características como durabilidade e resistência mecânica, é atualmente uma das madeiras com maior valor de mercado, com preços superiores aos de madeiras nobres (BONDUELLE et al., 2015), podendo ser utilizados</w:t>
      </w:r>
      <w:r w:rsidR="00A328DE">
        <w:rPr>
          <w:rFonts w:ascii="Times New Roman" w:hAnsi="Times New Roman" w:cs="Times New Roman"/>
          <w:sz w:val="24"/>
        </w:rPr>
        <w:t>, sobretudo</w:t>
      </w:r>
      <w:r w:rsidRPr="00420579">
        <w:rPr>
          <w:rFonts w:ascii="Times New Roman" w:hAnsi="Times New Roman" w:cs="Times New Roman"/>
          <w:sz w:val="24"/>
        </w:rPr>
        <w:t xml:space="preserve"> na fabricação de móveis finos, esquadrias, pisos, construção naval, painéis, lâminas faqueadas e lambris (COIMBRA et al., 2014).</w:t>
      </w:r>
      <w:r w:rsidR="000B7D4A">
        <w:rPr>
          <w:rFonts w:ascii="Times New Roman" w:hAnsi="Times New Roman" w:cs="Times New Roman"/>
          <w:sz w:val="24"/>
        </w:rPr>
        <w:t xml:space="preserve"> Em sua região de origem</w:t>
      </w:r>
      <w:r w:rsidR="000A135D">
        <w:rPr>
          <w:rFonts w:ascii="Times New Roman" w:hAnsi="Times New Roman" w:cs="Times New Roman"/>
          <w:sz w:val="24"/>
        </w:rPr>
        <w:t>,</w:t>
      </w:r>
      <w:r w:rsidR="000B7D4A">
        <w:rPr>
          <w:rFonts w:ascii="Times New Roman" w:hAnsi="Times New Roman" w:cs="Times New Roman"/>
          <w:sz w:val="24"/>
        </w:rPr>
        <w:t xml:space="preserve"> a madeira </w:t>
      </w:r>
      <w:r w:rsidR="00A328DE">
        <w:rPr>
          <w:rFonts w:ascii="Times New Roman" w:hAnsi="Times New Roman" w:cs="Times New Roman"/>
          <w:sz w:val="24"/>
        </w:rPr>
        <w:t xml:space="preserve">ainda </w:t>
      </w:r>
      <w:r w:rsidR="000B7D4A">
        <w:rPr>
          <w:rFonts w:ascii="Times New Roman" w:hAnsi="Times New Roman" w:cs="Times New Roman"/>
          <w:sz w:val="24"/>
        </w:rPr>
        <w:t>é utilizada como lenha e carvão vegetal para a produção de energia (LAMPRECHT, 1990).</w:t>
      </w:r>
    </w:p>
    <w:p w14:paraId="169586DB" w14:textId="1345B1FE" w:rsidR="00420579" w:rsidRPr="00420579" w:rsidRDefault="00420579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20579">
        <w:rPr>
          <w:rFonts w:ascii="Times New Roman" w:hAnsi="Times New Roman" w:cs="Times New Roman"/>
          <w:sz w:val="24"/>
        </w:rPr>
        <w:t>Pelissari</w:t>
      </w:r>
      <w:proofErr w:type="spellEnd"/>
      <w:r w:rsidRPr="00420579">
        <w:rPr>
          <w:rFonts w:ascii="Times New Roman" w:hAnsi="Times New Roman" w:cs="Times New Roman"/>
          <w:sz w:val="24"/>
        </w:rPr>
        <w:t xml:space="preserve"> et al. (2014), ao </w:t>
      </w:r>
      <w:r w:rsidR="000A135D" w:rsidRPr="00420579">
        <w:rPr>
          <w:rFonts w:ascii="Times New Roman" w:hAnsi="Times New Roman" w:cs="Times New Roman"/>
          <w:sz w:val="24"/>
        </w:rPr>
        <w:t>revi</w:t>
      </w:r>
      <w:r w:rsidR="000A135D">
        <w:rPr>
          <w:rFonts w:ascii="Times New Roman" w:hAnsi="Times New Roman" w:cs="Times New Roman"/>
          <w:sz w:val="24"/>
        </w:rPr>
        <w:t>sarem</w:t>
      </w:r>
      <w:r w:rsidR="000A135D" w:rsidRPr="00420579">
        <w:rPr>
          <w:rFonts w:ascii="Times New Roman" w:hAnsi="Times New Roman" w:cs="Times New Roman"/>
          <w:sz w:val="24"/>
        </w:rPr>
        <w:t xml:space="preserve"> </w:t>
      </w:r>
      <w:r w:rsidRPr="00420579">
        <w:rPr>
          <w:rFonts w:ascii="Times New Roman" w:hAnsi="Times New Roman" w:cs="Times New Roman"/>
          <w:sz w:val="24"/>
        </w:rPr>
        <w:t>diferentes trabalhos sobre a espécie na literatura, constataram que, no continente africano, a produtividade variava entre 5 e 16 m³</w:t>
      </w:r>
      <w:r w:rsidR="000A135D">
        <w:rPr>
          <w:rFonts w:ascii="Times New Roman" w:hAnsi="Times New Roman" w:cs="Times New Roman"/>
          <w:sz w:val="24"/>
        </w:rPr>
        <w:t xml:space="preserve"> </w:t>
      </w:r>
      <w:r w:rsidRPr="00420579">
        <w:rPr>
          <w:rFonts w:ascii="Times New Roman" w:hAnsi="Times New Roman" w:cs="Times New Roman"/>
          <w:sz w:val="24"/>
        </w:rPr>
        <w:t>ha</w:t>
      </w:r>
      <w:r w:rsidR="000A135D">
        <w:rPr>
          <w:rFonts w:ascii="Times New Roman" w:hAnsi="Times New Roman" w:cs="Times New Roman"/>
          <w:sz w:val="24"/>
          <w:vertAlign w:val="superscript"/>
        </w:rPr>
        <w:t>-1</w:t>
      </w:r>
      <w:r w:rsidR="000A135D">
        <w:rPr>
          <w:rFonts w:ascii="Times New Roman" w:hAnsi="Times New Roman" w:cs="Times New Roman"/>
          <w:sz w:val="24"/>
        </w:rPr>
        <w:t xml:space="preserve"> </w:t>
      </w:r>
      <w:r w:rsidRPr="00420579">
        <w:rPr>
          <w:rFonts w:ascii="Times New Roman" w:hAnsi="Times New Roman" w:cs="Times New Roman"/>
          <w:sz w:val="24"/>
        </w:rPr>
        <w:t>ano</w:t>
      </w:r>
      <w:r w:rsidRPr="00097D88">
        <w:rPr>
          <w:rFonts w:ascii="Times New Roman" w:hAnsi="Times New Roman" w:cs="Times New Roman"/>
          <w:sz w:val="24"/>
          <w:vertAlign w:val="superscript"/>
        </w:rPr>
        <w:t>-1</w:t>
      </w:r>
      <w:r w:rsidRPr="00420579">
        <w:rPr>
          <w:rFonts w:ascii="Times New Roman" w:hAnsi="Times New Roman" w:cs="Times New Roman"/>
          <w:sz w:val="24"/>
        </w:rPr>
        <w:t xml:space="preserve"> para rotações de 35 a 55</w:t>
      </w:r>
      <w:r w:rsidR="000A135D">
        <w:rPr>
          <w:rFonts w:ascii="Times New Roman" w:hAnsi="Times New Roman" w:cs="Times New Roman"/>
          <w:sz w:val="24"/>
        </w:rPr>
        <w:t> </w:t>
      </w:r>
      <w:r w:rsidRPr="00420579">
        <w:rPr>
          <w:rFonts w:ascii="Times New Roman" w:hAnsi="Times New Roman" w:cs="Times New Roman"/>
          <w:sz w:val="24"/>
        </w:rPr>
        <w:t>anos e, nas Américas do Central e Sul, em rotações de 20 a 25 anos</w:t>
      </w:r>
      <w:r w:rsidR="000A135D">
        <w:rPr>
          <w:rFonts w:ascii="Times New Roman" w:hAnsi="Times New Roman" w:cs="Times New Roman"/>
          <w:sz w:val="24"/>
        </w:rPr>
        <w:t>,</w:t>
      </w:r>
      <w:r w:rsidRPr="00420579">
        <w:rPr>
          <w:rFonts w:ascii="Times New Roman" w:hAnsi="Times New Roman" w:cs="Times New Roman"/>
          <w:sz w:val="24"/>
        </w:rPr>
        <w:t xml:space="preserve"> a variação era entre 10 e 20 m³</w:t>
      </w:r>
      <w:r w:rsidR="000A135D">
        <w:rPr>
          <w:rFonts w:ascii="Times New Roman" w:hAnsi="Times New Roman" w:cs="Times New Roman"/>
          <w:sz w:val="24"/>
        </w:rPr>
        <w:t xml:space="preserve"> </w:t>
      </w:r>
      <w:r w:rsidRPr="00420579">
        <w:rPr>
          <w:rFonts w:ascii="Times New Roman" w:hAnsi="Times New Roman" w:cs="Times New Roman"/>
          <w:sz w:val="24"/>
        </w:rPr>
        <w:t>ha</w:t>
      </w:r>
      <w:r w:rsidR="000A135D">
        <w:rPr>
          <w:rFonts w:ascii="Times New Roman" w:hAnsi="Times New Roman" w:cs="Times New Roman"/>
          <w:sz w:val="24"/>
          <w:vertAlign w:val="superscript"/>
        </w:rPr>
        <w:t>-1</w:t>
      </w:r>
      <w:r w:rsidR="000A135D">
        <w:rPr>
          <w:rFonts w:ascii="Times New Roman" w:hAnsi="Times New Roman" w:cs="Times New Roman"/>
          <w:sz w:val="24"/>
        </w:rPr>
        <w:t xml:space="preserve"> </w:t>
      </w:r>
      <w:r w:rsidRPr="00420579">
        <w:rPr>
          <w:rFonts w:ascii="Times New Roman" w:hAnsi="Times New Roman" w:cs="Times New Roman"/>
          <w:sz w:val="24"/>
        </w:rPr>
        <w:t>ano</w:t>
      </w:r>
      <w:r w:rsidRPr="00097D88">
        <w:rPr>
          <w:rFonts w:ascii="Times New Roman" w:hAnsi="Times New Roman" w:cs="Times New Roman"/>
          <w:sz w:val="24"/>
          <w:vertAlign w:val="superscript"/>
        </w:rPr>
        <w:t>-1</w:t>
      </w:r>
      <w:r w:rsidRPr="00420579">
        <w:rPr>
          <w:rFonts w:ascii="Times New Roman" w:hAnsi="Times New Roman" w:cs="Times New Roman"/>
          <w:sz w:val="24"/>
        </w:rPr>
        <w:t>.</w:t>
      </w:r>
    </w:p>
    <w:p w14:paraId="5716C184" w14:textId="74A10E45" w:rsidR="00222777" w:rsidRDefault="00420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20579">
        <w:rPr>
          <w:rFonts w:ascii="Times New Roman" w:hAnsi="Times New Roman" w:cs="Times New Roman"/>
          <w:sz w:val="24"/>
        </w:rPr>
        <w:t>O manejo</w:t>
      </w:r>
      <w:r w:rsidR="000A135D">
        <w:rPr>
          <w:rFonts w:ascii="Times New Roman" w:hAnsi="Times New Roman" w:cs="Times New Roman"/>
          <w:sz w:val="24"/>
        </w:rPr>
        <w:t xml:space="preserve"> silvicultural</w:t>
      </w:r>
      <w:r w:rsidRPr="00420579">
        <w:rPr>
          <w:rFonts w:ascii="Times New Roman" w:hAnsi="Times New Roman" w:cs="Times New Roman"/>
          <w:sz w:val="24"/>
        </w:rPr>
        <w:t xml:space="preserve"> adotado na floresta é fundamental para </w:t>
      </w:r>
      <w:r w:rsidR="000A135D">
        <w:rPr>
          <w:rFonts w:ascii="Times New Roman" w:hAnsi="Times New Roman" w:cs="Times New Roman"/>
          <w:sz w:val="24"/>
        </w:rPr>
        <w:t>o aumento da</w:t>
      </w:r>
      <w:r w:rsidRPr="00420579">
        <w:rPr>
          <w:rFonts w:ascii="Times New Roman" w:hAnsi="Times New Roman" w:cs="Times New Roman"/>
          <w:sz w:val="24"/>
        </w:rPr>
        <w:t xml:space="preserve"> produção </w:t>
      </w:r>
      <w:r w:rsidR="000A135D">
        <w:rPr>
          <w:rFonts w:ascii="Times New Roman" w:hAnsi="Times New Roman" w:cs="Times New Roman"/>
          <w:sz w:val="24"/>
        </w:rPr>
        <w:t>madeireira</w:t>
      </w:r>
      <w:r w:rsidRPr="00420579">
        <w:rPr>
          <w:rFonts w:ascii="Times New Roman" w:hAnsi="Times New Roman" w:cs="Times New Roman"/>
          <w:sz w:val="24"/>
        </w:rPr>
        <w:t xml:space="preserve"> (</w:t>
      </w:r>
      <w:r w:rsidR="0065465F">
        <w:rPr>
          <w:rFonts w:ascii="Times New Roman" w:hAnsi="Times New Roman" w:cs="Times New Roman"/>
          <w:sz w:val="24"/>
        </w:rPr>
        <w:t xml:space="preserve">GOMES DE </w:t>
      </w:r>
      <w:r w:rsidRPr="00420579">
        <w:rPr>
          <w:rFonts w:ascii="Times New Roman" w:hAnsi="Times New Roman" w:cs="Times New Roman"/>
          <w:sz w:val="24"/>
        </w:rPr>
        <w:t xml:space="preserve">OLIVEIRA et al., 2020), </w:t>
      </w:r>
      <w:r w:rsidR="000A135D">
        <w:rPr>
          <w:rFonts w:ascii="Times New Roman" w:hAnsi="Times New Roman" w:cs="Times New Roman"/>
          <w:sz w:val="24"/>
        </w:rPr>
        <w:t>utilizam-se</w:t>
      </w:r>
      <w:r w:rsidRPr="00420579">
        <w:rPr>
          <w:rFonts w:ascii="Times New Roman" w:hAnsi="Times New Roman" w:cs="Times New Roman"/>
          <w:sz w:val="24"/>
        </w:rPr>
        <w:t xml:space="preserve"> espaçamentos</w:t>
      </w:r>
      <w:r w:rsidR="000A135D">
        <w:rPr>
          <w:rFonts w:ascii="Times New Roman" w:hAnsi="Times New Roman" w:cs="Times New Roman"/>
          <w:sz w:val="24"/>
        </w:rPr>
        <w:t xml:space="preserve"> de plantio de</w:t>
      </w:r>
      <w:r w:rsidRPr="00420579">
        <w:rPr>
          <w:rFonts w:ascii="Times New Roman" w:hAnsi="Times New Roman" w:cs="Times New Roman"/>
          <w:sz w:val="24"/>
        </w:rPr>
        <w:t xml:space="preserve"> 3,5 m </w:t>
      </w:r>
      <w:r w:rsidR="000A135D">
        <w:rPr>
          <w:rFonts w:ascii="Times New Roman" w:hAnsi="Times New Roman" w:cs="Times New Roman"/>
          <w:sz w:val="24"/>
        </w:rPr>
        <w:t xml:space="preserve">× </w:t>
      </w:r>
      <w:r w:rsidRPr="00420579">
        <w:rPr>
          <w:rFonts w:ascii="Times New Roman" w:hAnsi="Times New Roman" w:cs="Times New Roman"/>
          <w:sz w:val="24"/>
        </w:rPr>
        <w:t>3,0 m ou 4,0</w:t>
      </w:r>
      <w:r w:rsidR="000A135D">
        <w:rPr>
          <w:rFonts w:ascii="Times New Roman" w:hAnsi="Times New Roman" w:cs="Times New Roman"/>
          <w:sz w:val="24"/>
        </w:rPr>
        <w:t> </w:t>
      </w:r>
      <w:r w:rsidRPr="00420579">
        <w:rPr>
          <w:rFonts w:ascii="Times New Roman" w:hAnsi="Times New Roman" w:cs="Times New Roman"/>
          <w:sz w:val="24"/>
        </w:rPr>
        <w:t>m</w:t>
      </w:r>
      <w:r w:rsidR="000A135D">
        <w:rPr>
          <w:rFonts w:ascii="Times New Roman" w:hAnsi="Times New Roman" w:cs="Times New Roman"/>
          <w:sz w:val="24"/>
        </w:rPr>
        <w:t> × </w:t>
      </w:r>
      <w:r w:rsidRPr="00420579">
        <w:rPr>
          <w:rFonts w:ascii="Times New Roman" w:hAnsi="Times New Roman" w:cs="Times New Roman"/>
          <w:sz w:val="24"/>
        </w:rPr>
        <w:t>2,5</w:t>
      </w:r>
      <w:r w:rsidR="0055147D">
        <w:rPr>
          <w:rFonts w:ascii="Times New Roman" w:hAnsi="Times New Roman" w:cs="Times New Roman"/>
          <w:sz w:val="24"/>
        </w:rPr>
        <w:t> </w:t>
      </w:r>
      <w:r w:rsidRPr="00420579">
        <w:rPr>
          <w:rFonts w:ascii="Times New Roman" w:hAnsi="Times New Roman" w:cs="Times New Roman"/>
          <w:sz w:val="24"/>
        </w:rPr>
        <w:t>m</w:t>
      </w:r>
      <w:r w:rsidR="000A135D">
        <w:rPr>
          <w:rFonts w:ascii="Times New Roman" w:hAnsi="Times New Roman" w:cs="Times New Roman"/>
          <w:sz w:val="24"/>
        </w:rPr>
        <w:t xml:space="preserve">, </w:t>
      </w:r>
      <w:r w:rsidR="006F3C30">
        <w:rPr>
          <w:rFonts w:ascii="Times New Roman" w:hAnsi="Times New Roman" w:cs="Times New Roman"/>
          <w:sz w:val="24"/>
        </w:rPr>
        <w:t xml:space="preserve">sendo </w:t>
      </w:r>
      <w:r w:rsidR="006F3C30" w:rsidRPr="00420579">
        <w:rPr>
          <w:rFonts w:ascii="Times New Roman" w:hAnsi="Times New Roman" w:cs="Times New Roman"/>
          <w:sz w:val="24"/>
        </w:rPr>
        <w:t>que</w:t>
      </w:r>
      <w:r w:rsidR="000A135D">
        <w:rPr>
          <w:rFonts w:ascii="Times New Roman" w:hAnsi="Times New Roman" w:cs="Times New Roman"/>
          <w:sz w:val="24"/>
        </w:rPr>
        <w:t xml:space="preserve"> o desbaste é iniciado a partir do quarto ano de idade</w:t>
      </w:r>
      <w:r w:rsidRPr="00420579">
        <w:rPr>
          <w:rFonts w:ascii="Times New Roman" w:hAnsi="Times New Roman" w:cs="Times New Roman"/>
          <w:sz w:val="24"/>
        </w:rPr>
        <w:t xml:space="preserve"> (PELISSARI et al., 2014).</w:t>
      </w:r>
      <w:r w:rsidR="00927F1E">
        <w:rPr>
          <w:rFonts w:ascii="Times New Roman" w:hAnsi="Times New Roman" w:cs="Times New Roman"/>
          <w:sz w:val="24"/>
        </w:rPr>
        <w:t xml:space="preserve"> </w:t>
      </w:r>
      <w:r w:rsidR="000A135D">
        <w:rPr>
          <w:rFonts w:ascii="Times New Roman" w:hAnsi="Times New Roman" w:cs="Times New Roman"/>
          <w:sz w:val="24"/>
        </w:rPr>
        <w:t>Entre os métodos de desbaste, um dos mais utilizados, é o</w:t>
      </w:r>
      <w:r w:rsidR="00EC64FC">
        <w:rPr>
          <w:rFonts w:ascii="Times New Roman" w:hAnsi="Times New Roman" w:cs="Times New Roman"/>
          <w:sz w:val="24"/>
        </w:rPr>
        <w:t xml:space="preserve"> desbaste por baixo, que consiste na retirada de árvores com </w:t>
      </w:r>
      <w:r w:rsidR="007E5907">
        <w:rPr>
          <w:rFonts w:ascii="Times New Roman" w:hAnsi="Times New Roman" w:cs="Times New Roman"/>
          <w:sz w:val="24"/>
        </w:rPr>
        <w:t>copas</w:t>
      </w:r>
      <w:r w:rsidR="00EC64FC">
        <w:rPr>
          <w:rFonts w:ascii="Times New Roman" w:hAnsi="Times New Roman" w:cs="Times New Roman"/>
          <w:sz w:val="24"/>
        </w:rPr>
        <w:t xml:space="preserve"> menores, eliminando parte da classe dos indivíduos inferiores e </w:t>
      </w:r>
      <w:r w:rsidR="00EC64FC">
        <w:rPr>
          <w:rFonts w:ascii="Times New Roman" w:hAnsi="Times New Roman" w:cs="Times New Roman"/>
          <w:sz w:val="24"/>
        </w:rPr>
        <w:t xml:space="preserve">mantendo os mais desenvolvidos </w:t>
      </w:r>
      <w:r w:rsidR="003218B0">
        <w:rPr>
          <w:rFonts w:ascii="Times New Roman" w:hAnsi="Times New Roman" w:cs="Times New Roman"/>
          <w:sz w:val="24"/>
        </w:rPr>
        <w:t>(RIBEIRO et al., 2002</w:t>
      </w:r>
      <w:r w:rsidR="00EC64FC">
        <w:rPr>
          <w:rFonts w:ascii="Times New Roman" w:hAnsi="Times New Roman" w:cs="Times New Roman"/>
          <w:sz w:val="24"/>
        </w:rPr>
        <w:t xml:space="preserve">). </w:t>
      </w:r>
    </w:p>
    <w:p w14:paraId="1F0ACC0F" w14:textId="1A3C0CF5" w:rsidR="00AF6160" w:rsidRDefault="00A82D4D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</w:t>
      </w:r>
      <w:r w:rsidRPr="00A82D4D">
        <w:rPr>
          <w:rFonts w:ascii="Times New Roman" w:hAnsi="Times New Roman" w:cs="Times New Roman"/>
          <w:sz w:val="24"/>
        </w:rPr>
        <w:t xml:space="preserve"> árvores</w:t>
      </w:r>
      <w:r w:rsidR="00C243F9">
        <w:rPr>
          <w:rFonts w:ascii="Times New Roman" w:hAnsi="Times New Roman" w:cs="Times New Roman"/>
          <w:sz w:val="24"/>
        </w:rPr>
        <w:t xml:space="preserve"> </w:t>
      </w:r>
      <w:r w:rsidRPr="00A82D4D">
        <w:rPr>
          <w:rFonts w:ascii="Times New Roman" w:hAnsi="Times New Roman" w:cs="Times New Roman"/>
          <w:sz w:val="24"/>
        </w:rPr>
        <w:t xml:space="preserve">desbastadas podem ser utilizadas como biomassa para </w:t>
      </w:r>
      <w:r>
        <w:rPr>
          <w:rFonts w:ascii="Times New Roman" w:hAnsi="Times New Roman" w:cs="Times New Roman"/>
          <w:sz w:val="24"/>
        </w:rPr>
        <w:t>produção de energia</w:t>
      </w:r>
      <w:r w:rsidR="00222777">
        <w:rPr>
          <w:rFonts w:ascii="Times New Roman" w:hAnsi="Times New Roman" w:cs="Times New Roman"/>
          <w:sz w:val="24"/>
        </w:rPr>
        <w:t xml:space="preserve">, </w:t>
      </w:r>
      <w:r w:rsidR="00C243F9">
        <w:rPr>
          <w:rFonts w:ascii="Times New Roman" w:hAnsi="Times New Roman" w:cs="Times New Roman"/>
          <w:sz w:val="24"/>
        </w:rPr>
        <w:t xml:space="preserve">na forma de </w:t>
      </w:r>
      <w:r w:rsidR="00222777">
        <w:rPr>
          <w:rFonts w:ascii="Times New Roman" w:hAnsi="Times New Roman" w:cs="Times New Roman"/>
          <w:sz w:val="24"/>
        </w:rPr>
        <w:t>lenha</w:t>
      </w:r>
      <w:r w:rsidR="00C243F9">
        <w:rPr>
          <w:rFonts w:ascii="Times New Roman" w:hAnsi="Times New Roman" w:cs="Times New Roman"/>
          <w:sz w:val="24"/>
        </w:rPr>
        <w:t xml:space="preserve">. Além disso, </w:t>
      </w:r>
      <w:r w:rsidR="00222777">
        <w:rPr>
          <w:rFonts w:ascii="Times New Roman" w:hAnsi="Times New Roman" w:cs="Times New Roman"/>
          <w:sz w:val="24"/>
        </w:rPr>
        <w:t xml:space="preserve">os resíduos oriundos do processamento da madeira </w:t>
      </w:r>
      <w:r w:rsidR="00C243F9">
        <w:rPr>
          <w:rFonts w:ascii="Times New Roman" w:hAnsi="Times New Roman" w:cs="Times New Roman"/>
          <w:sz w:val="24"/>
        </w:rPr>
        <w:t xml:space="preserve">de teca </w:t>
      </w:r>
      <w:r w:rsidR="00222777">
        <w:rPr>
          <w:rFonts w:ascii="Times New Roman" w:hAnsi="Times New Roman" w:cs="Times New Roman"/>
          <w:sz w:val="24"/>
        </w:rPr>
        <w:t>podem ser utilizados para a produção de briquetes</w:t>
      </w:r>
      <w:r w:rsidR="00C243F9">
        <w:rPr>
          <w:rFonts w:ascii="Times New Roman" w:hAnsi="Times New Roman" w:cs="Times New Roman"/>
          <w:sz w:val="24"/>
        </w:rPr>
        <w:t xml:space="preserve"> </w:t>
      </w:r>
      <w:r w:rsidR="00222777">
        <w:rPr>
          <w:rFonts w:ascii="Times New Roman" w:hAnsi="Times New Roman" w:cs="Times New Roman"/>
          <w:sz w:val="24"/>
        </w:rPr>
        <w:t>(</w:t>
      </w:r>
      <w:r w:rsidR="00927F1E">
        <w:rPr>
          <w:rFonts w:ascii="Times New Roman" w:hAnsi="Times New Roman" w:cs="Times New Roman"/>
          <w:sz w:val="24"/>
        </w:rPr>
        <w:t>OHANA</w:t>
      </w:r>
      <w:r w:rsidR="00222777">
        <w:rPr>
          <w:rFonts w:ascii="Times New Roman" w:hAnsi="Times New Roman" w:cs="Times New Roman"/>
          <w:sz w:val="24"/>
        </w:rPr>
        <w:t>, 2012).</w:t>
      </w:r>
    </w:p>
    <w:p w14:paraId="34FC3C1F" w14:textId="7607319C" w:rsidR="00DC35B6" w:rsidRDefault="003F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18EB">
        <w:rPr>
          <w:rFonts w:ascii="Times New Roman" w:hAnsi="Times New Roman" w:cs="Times New Roman"/>
          <w:sz w:val="24"/>
        </w:rPr>
        <w:t>Na produção de energia,</w:t>
      </w:r>
      <w:r w:rsidR="00C243F9">
        <w:rPr>
          <w:rFonts w:ascii="Times New Roman" w:hAnsi="Times New Roman" w:cs="Times New Roman"/>
          <w:sz w:val="24"/>
        </w:rPr>
        <w:t xml:space="preserve"> destaque para </w:t>
      </w:r>
      <w:r w:rsidRPr="003F18EB">
        <w:rPr>
          <w:rFonts w:ascii="Times New Roman" w:hAnsi="Times New Roman" w:cs="Times New Roman"/>
          <w:sz w:val="24"/>
        </w:rPr>
        <w:t xml:space="preserve">a biomassa </w:t>
      </w:r>
      <w:r w:rsidR="00C243F9">
        <w:rPr>
          <w:rFonts w:ascii="Times New Roman" w:hAnsi="Times New Roman" w:cs="Times New Roman"/>
          <w:sz w:val="24"/>
        </w:rPr>
        <w:t>lenhosa oriunda das plantações florestais, que têm incentivado</w:t>
      </w:r>
      <w:r w:rsidRPr="003F18EB">
        <w:rPr>
          <w:rFonts w:ascii="Times New Roman" w:hAnsi="Times New Roman" w:cs="Times New Roman"/>
          <w:sz w:val="24"/>
        </w:rPr>
        <w:t xml:space="preserve"> </w:t>
      </w:r>
      <w:r w:rsidR="00C243F9">
        <w:rPr>
          <w:rFonts w:ascii="Times New Roman" w:hAnsi="Times New Roman" w:cs="Times New Roman"/>
          <w:sz w:val="24"/>
        </w:rPr>
        <w:t xml:space="preserve">diferentes pesquisas sobre o tema </w:t>
      </w:r>
      <w:r w:rsidRPr="003F18EB">
        <w:rPr>
          <w:rFonts w:ascii="Times New Roman" w:hAnsi="Times New Roman" w:cs="Times New Roman"/>
          <w:sz w:val="24"/>
        </w:rPr>
        <w:t>(SILVA et al., 2014</w:t>
      </w:r>
      <w:r w:rsidR="00C243F9">
        <w:rPr>
          <w:rFonts w:ascii="Times New Roman" w:hAnsi="Times New Roman" w:cs="Times New Roman"/>
          <w:sz w:val="24"/>
        </w:rPr>
        <w:t xml:space="preserve">; </w:t>
      </w:r>
      <w:r w:rsidR="00C243F9" w:rsidRPr="003F18EB">
        <w:rPr>
          <w:rFonts w:ascii="Times New Roman" w:hAnsi="Times New Roman" w:cs="Times New Roman"/>
          <w:sz w:val="24"/>
        </w:rPr>
        <w:t>SILVA et al., 2015</w:t>
      </w:r>
      <w:r w:rsidRPr="003F18EB">
        <w:rPr>
          <w:rFonts w:ascii="Times New Roman" w:hAnsi="Times New Roman" w:cs="Times New Roman"/>
          <w:sz w:val="24"/>
        </w:rPr>
        <w:t xml:space="preserve">). Contudo, ainda existem dúvidas </w:t>
      </w:r>
      <w:r w:rsidR="00C243F9">
        <w:rPr>
          <w:rFonts w:ascii="Times New Roman" w:hAnsi="Times New Roman" w:cs="Times New Roman"/>
          <w:sz w:val="24"/>
        </w:rPr>
        <w:t>em</w:t>
      </w:r>
      <w:r w:rsidRPr="003F18EB">
        <w:rPr>
          <w:rFonts w:ascii="Times New Roman" w:hAnsi="Times New Roman" w:cs="Times New Roman"/>
          <w:sz w:val="24"/>
        </w:rPr>
        <w:t xml:space="preserve"> relação </w:t>
      </w:r>
      <w:r w:rsidR="00C243F9">
        <w:rPr>
          <w:rFonts w:ascii="Times New Roman" w:hAnsi="Times New Roman" w:cs="Times New Roman"/>
          <w:sz w:val="24"/>
        </w:rPr>
        <w:t xml:space="preserve">à </w:t>
      </w:r>
      <w:r w:rsidR="00E62E80">
        <w:rPr>
          <w:rFonts w:ascii="Times New Roman" w:hAnsi="Times New Roman" w:cs="Times New Roman"/>
          <w:sz w:val="24"/>
        </w:rPr>
        <w:t>quantificação</w:t>
      </w:r>
      <w:r w:rsidR="00C243F9">
        <w:rPr>
          <w:rFonts w:ascii="Times New Roman" w:hAnsi="Times New Roman" w:cs="Times New Roman"/>
          <w:sz w:val="24"/>
        </w:rPr>
        <w:t xml:space="preserve"> </w:t>
      </w:r>
      <w:r w:rsidR="00CB4A7D">
        <w:rPr>
          <w:rFonts w:ascii="Times New Roman" w:hAnsi="Times New Roman" w:cs="Times New Roman"/>
          <w:sz w:val="24"/>
        </w:rPr>
        <w:t>da biomassa</w:t>
      </w:r>
      <w:r w:rsidR="00C243F9">
        <w:rPr>
          <w:rFonts w:ascii="Times New Roman" w:hAnsi="Times New Roman" w:cs="Times New Roman"/>
          <w:sz w:val="24"/>
        </w:rPr>
        <w:t xml:space="preserve"> de desbaste </w:t>
      </w:r>
      <w:r w:rsidRPr="003F18EB">
        <w:rPr>
          <w:rFonts w:ascii="Times New Roman" w:hAnsi="Times New Roman" w:cs="Times New Roman"/>
          <w:sz w:val="24"/>
        </w:rPr>
        <w:t>de Teca (</w:t>
      </w:r>
      <w:r w:rsidRPr="003F18EB">
        <w:rPr>
          <w:rFonts w:ascii="Times New Roman" w:hAnsi="Times New Roman" w:cs="Times New Roman"/>
          <w:i/>
          <w:sz w:val="24"/>
        </w:rPr>
        <w:t>Tectona grandis</w:t>
      </w:r>
      <w:r w:rsidRPr="003F18EB">
        <w:rPr>
          <w:rFonts w:ascii="Times New Roman" w:hAnsi="Times New Roman" w:cs="Times New Roman"/>
          <w:sz w:val="24"/>
        </w:rPr>
        <w:t>)</w:t>
      </w:r>
      <w:r w:rsidR="00C243F9">
        <w:rPr>
          <w:rFonts w:ascii="Times New Roman" w:hAnsi="Times New Roman" w:cs="Times New Roman"/>
          <w:sz w:val="24"/>
        </w:rPr>
        <w:t xml:space="preserve">, bem como </w:t>
      </w:r>
      <w:r w:rsidR="00CB4A7D">
        <w:rPr>
          <w:rFonts w:ascii="Times New Roman" w:hAnsi="Times New Roman" w:cs="Times New Roman"/>
          <w:sz w:val="24"/>
        </w:rPr>
        <w:t>suas características energéticas como combustível sólido.</w:t>
      </w:r>
    </w:p>
    <w:p w14:paraId="4B9B4ACD" w14:textId="5CC890D9" w:rsidR="003F18EB" w:rsidRDefault="00A328DE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18EB">
        <w:rPr>
          <w:rFonts w:ascii="Times New Roman" w:hAnsi="Times New Roman" w:cs="Times New Roman"/>
          <w:sz w:val="24"/>
        </w:rPr>
        <w:t>Des</w:t>
      </w:r>
      <w:r>
        <w:rPr>
          <w:rFonts w:ascii="Times New Roman" w:hAnsi="Times New Roman" w:cs="Times New Roman"/>
          <w:sz w:val="24"/>
        </w:rPr>
        <w:t>ta</w:t>
      </w:r>
      <w:r w:rsidRPr="003F18EB">
        <w:rPr>
          <w:rFonts w:ascii="Times New Roman" w:hAnsi="Times New Roman" w:cs="Times New Roman"/>
          <w:sz w:val="24"/>
        </w:rPr>
        <w:t xml:space="preserve"> </w:t>
      </w:r>
      <w:r w:rsidR="003F18EB" w:rsidRPr="003F18EB">
        <w:rPr>
          <w:rFonts w:ascii="Times New Roman" w:hAnsi="Times New Roman" w:cs="Times New Roman"/>
          <w:sz w:val="24"/>
        </w:rPr>
        <w:t xml:space="preserve">forma, </w:t>
      </w:r>
      <w:r w:rsidR="00720002" w:rsidRPr="00720002">
        <w:rPr>
          <w:rFonts w:ascii="Times New Roman" w:hAnsi="Times New Roman" w:cs="Times New Roman"/>
          <w:sz w:val="24"/>
        </w:rPr>
        <w:t xml:space="preserve">o presente estudo teve como objetivo </w:t>
      </w:r>
      <w:r w:rsidR="00945AD9">
        <w:rPr>
          <w:rFonts w:ascii="Times New Roman" w:hAnsi="Times New Roman" w:cs="Times New Roman"/>
          <w:sz w:val="24"/>
        </w:rPr>
        <w:t xml:space="preserve">estimar </w:t>
      </w:r>
      <w:r w:rsidR="00720002" w:rsidRPr="00720002">
        <w:rPr>
          <w:rFonts w:ascii="Times New Roman" w:hAnsi="Times New Roman" w:cs="Times New Roman"/>
          <w:sz w:val="24"/>
        </w:rPr>
        <w:t xml:space="preserve">a biomassa proveniente de </w:t>
      </w:r>
      <w:r w:rsidR="0055147D">
        <w:rPr>
          <w:rFonts w:ascii="Times New Roman" w:hAnsi="Times New Roman" w:cs="Times New Roman"/>
          <w:sz w:val="24"/>
        </w:rPr>
        <w:t xml:space="preserve">desbaste </w:t>
      </w:r>
      <w:r w:rsidR="00720002" w:rsidRPr="00720002">
        <w:rPr>
          <w:rFonts w:ascii="Times New Roman" w:hAnsi="Times New Roman" w:cs="Times New Roman"/>
          <w:sz w:val="24"/>
        </w:rPr>
        <w:t>de</w:t>
      </w:r>
      <w:r w:rsidR="0055147D">
        <w:rPr>
          <w:rFonts w:ascii="Times New Roman" w:hAnsi="Times New Roman" w:cs="Times New Roman"/>
          <w:sz w:val="24"/>
        </w:rPr>
        <w:t xml:space="preserve"> um plantio</w:t>
      </w:r>
      <w:r w:rsidR="00291FAE">
        <w:rPr>
          <w:rFonts w:ascii="Times New Roman" w:hAnsi="Times New Roman" w:cs="Times New Roman"/>
          <w:sz w:val="24"/>
        </w:rPr>
        <w:t xml:space="preserve"> de</w:t>
      </w:r>
      <w:r w:rsidR="00720002" w:rsidRPr="00720002">
        <w:rPr>
          <w:rFonts w:ascii="Times New Roman" w:hAnsi="Times New Roman" w:cs="Times New Roman"/>
          <w:sz w:val="24"/>
        </w:rPr>
        <w:t xml:space="preserve"> </w:t>
      </w:r>
      <w:r w:rsidR="00720002" w:rsidRPr="00720002">
        <w:rPr>
          <w:rFonts w:ascii="Times New Roman" w:hAnsi="Times New Roman" w:cs="Times New Roman"/>
          <w:i/>
          <w:sz w:val="24"/>
        </w:rPr>
        <w:t>Tectona grandis</w:t>
      </w:r>
      <w:r w:rsidR="0055147D">
        <w:rPr>
          <w:rFonts w:ascii="Times New Roman" w:hAnsi="Times New Roman" w:cs="Times New Roman"/>
          <w:sz w:val="24"/>
        </w:rPr>
        <w:t xml:space="preserve"> e analisar o potencial energético da madeira</w:t>
      </w:r>
      <w:r w:rsidR="00720002" w:rsidRPr="00720002">
        <w:rPr>
          <w:rFonts w:ascii="Times New Roman" w:hAnsi="Times New Roman" w:cs="Times New Roman"/>
          <w:sz w:val="24"/>
        </w:rPr>
        <w:t>.</w:t>
      </w:r>
    </w:p>
    <w:p w14:paraId="1F9176A3" w14:textId="77777777" w:rsidR="003F18EB" w:rsidRDefault="003F18EB" w:rsidP="00DC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810EBA" w14:textId="77777777" w:rsidR="001212BE" w:rsidRDefault="00DC35B6" w:rsidP="00097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5B6">
        <w:rPr>
          <w:rFonts w:ascii="Times New Roman" w:hAnsi="Times New Roman" w:cs="Times New Roman"/>
          <w:b/>
          <w:sz w:val="24"/>
        </w:rPr>
        <w:t>Metodologia</w:t>
      </w:r>
    </w:p>
    <w:p w14:paraId="341EC24C" w14:textId="3120E28E" w:rsidR="001212BE" w:rsidRDefault="00672307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área experimental está localizada </w:t>
      </w:r>
      <w:r w:rsidR="009B455D" w:rsidRPr="009B455D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Fazenda </w:t>
      </w:r>
      <w:proofErr w:type="spellStart"/>
      <w:r>
        <w:rPr>
          <w:rFonts w:ascii="Times New Roman" w:hAnsi="Times New Roman" w:cs="Times New Roman"/>
          <w:sz w:val="24"/>
        </w:rPr>
        <w:t>Lageado</w:t>
      </w:r>
      <w:proofErr w:type="spellEnd"/>
      <w:r>
        <w:rPr>
          <w:rFonts w:ascii="Times New Roman" w:hAnsi="Times New Roman" w:cs="Times New Roman"/>
          <w:sz w:val="24"/>
        </w:rPr>
        <w:t xml:space="preserve"> pertencente à</w:t>
      </w:r>
      <w:r w:rsidR="009B455D" w:rsidRPr="009B455D">
        <w:rPr>
          <w:rFonts w:ascii="Times New Roman" w:hAnsi="Times New Roman" w:cs="Times New Roman"/>
          <w:sz w:val="24"/>
        </w:rPr>
        <w:t xml:space="preserve"> </w:t>
      </w:r>
      <w:r w:rsidR="003B1FF9" w:rsidRPr="009B455D">
        <w:rPr>
          <w:rFonts w:ascii="Times New Roman" w:hAnsi="Times New Roman" w:cs="Times New Roman"/>
          <w:sz w:val="24"/>
        </w:rPr>
        <w:t>Faculdade de Ciências Agronômicas (FCA/UNESP), campus de Botucatu</w:t>
      </w:r>
      <w:r w:rsidR="003B1FF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Estado de São Paulo</w:t>
      </w:r>
      <w:r w:rsidR="009B455D" w:rsidRPr="009B455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O local, situado nas coordenadas -</w:t>
      </w:r>
      <w:r w:rsidR="009B455D" w:rsidRPr="009B455D">
        <w:rPr>
          <w:rFonts w:ascii="Times New Roman" w:hAnsi="Times New Roman" w:cs="Times New Roman"/>
          <w:sz w:val="24"/>
        </w:rPr>
        <w:t xml:space="preserve"> </w:t>
      </w:r>
      <w:r w:rsidR="006C1FC6" w:rsidRPr="009B455D">
        <w:rPr>
          <w:rFonts w:ascii="Times New Roman" w:hAnsi="Times New Roman" w:cs="Times New Roman"/>
          <w:sz w:val="24"/>
        </w:rPr>
        <w:t xml:space="preserve">longitude </w:t>
      </w:r>
      <w:r w:rsidR="006C1FC6" w:rsidRPr="006C1FC6">
        <w:rPr>
          <w:rFonts w:ascii="Times New Roman" w:hAnsi="Times New Roman" w:cs="Times New Roman"/>
          <w:sz w:val="24"/>
        </w:rPr>
        <w:t>48°25'46.42"</w:t>
      </w:r>
      <w:r w:rsidR="003B1FF9">
        <w:rPr>
          <w:rFonts w:ascii="Times New Roman" w:hAnsi="Times New Roman" w:cs="Times New Roman"/>
          <w:sz w:val="24"/>
        </w:rPr>
        <w:t xml:space="preserve"> </w:t>
      </w:r>
      <w:r w:rsidR="009B455D" w:rsidRPr="009B455D">
        <w:rPr>
          <w:rFonts w:ascii="Times New Roman" w:hAnsi="Times New Roman" w:cs="Times New Roman"/>
          <w:sz w:val="24"/>
        </w:rPr>
        <w:t xml:space="preserve">W e </w:t>
      </w:r>
      <w:r w:rsidR="006C1FC6" w:rsidRPr="009B455D">
        <w:rPr>
          <w:rFonts w:ascii="Times New Roman" w:hAnsi="Times New Roman" w:cs="Times New Roman"/>
          <w:sz w:val="24"/>
        </w:rPr>
        <w:t xml:space="preserve">latitude </w:t>
      </w:r>
      <w:r w:rsidR="006C1FC6">
        <w:rPr>
          <w:rFonts w:ascii="Times New Roman" w:hAnsi="Times New Roman" w:cs="Times New Roman"/>
          <w:sz w:val="24"/>
        </w:rPr>
        <w:t xml:space="preserve">22°50'52.06" </w:t>
      </w:r>
      <w:r w:rsidR="003B1FF9">
        <w:rPr>
          <w:rFonts w:ascii="Times New Roman" w:hAnsi="Times New Roman" w:cs="Times New Roman"/>
          <w:sz w:val="24"/>
        </w:rPr>
        <w:t xml:space="preserve">S, </w:t>
      </w:r>
      <w:r>
        <w:rPr>
          <w:rFonts w:ascii="Times New Roman" w:hAnsi="Times New Roman" w:cs="Times New Roman"/>
          <w:sz w:val="24"/>
        </w:rPr>
        <w:t xml:space="preserve">possui </w:t>
      </w:r>
      <w:r w:rsidR="006C1FC6">
        <w:rPr>
          <w:rFonts w:ascii="Times New Roman" w:hAnsi="Times New Roman" w:cs="Times New Roman"/>
          <w:sz w:val="24"/>
        </w:rPr>
        <w:t>775</w:t>
      </w:r>
      <w:r w:rsidR="009B455D" w:rsidRPr="009B455D">
        <w:rPr>
          <w:rFonts w:ascii="Times New Roman" w:hAnsi="Times New Roman" w:cs="Times New Roman"/>
          <w:sz w:val="24"/>
        </w:rPr>
        <w:t xml:space="preserve"> m de altitude</w:t>
      </w:r>
      <w:r>
        <w:rPr>
          <w:rFonts w:ascii="Times New Roman" w:hAnsi="Times New Roman" w:cs="Times New Roman"/>
          <w:sz w:val="24"/>
        </w:rPr>
        <w:t xml:space="preserve">, </w:t>
      </w:r>
      <w:r w:rsidR="00097D88" w:rsidRPr="00097D88">
        <w:rPr>
          <w:rFonts w:ascii="Times New Roman" w:hAnsi="Times New Roman" w:cs="Times New Roman"/>
          <w:sz w:val="24"/>
        </w:rPr>
        <w:t>precipitação média anual de 1501,4 mm e temperatura média anual de 20,3 ºC.</w:t>
      </w:r>
    </w:p>
    <w:p w14:paraId="1B10B773" w14:textId="7D30CD61" w:rsidR="00097D88" w:rsidRPr="00097D88" w:rsidRDefault="009D39EC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097D88">
        <w:rPr>
          <w:rFonts w:ascii="Times New Roman" w:hAnsi="Times New Roman" w:cs="Times New Roman"/>
          <w:sz w:val="24"/>
        </w:rPr>
        <w:t>o presente</w:t>
      </w:r>
      <w:r w:rsidR="00097D88" w:rsidRPr="00097D88">
        <w:rPr>
          <w:rFonts w:ascii="Times New Roman" w:hAnsi="Times New Roman" w:cs="Times New Roman"/>
          <w:sz w:val="24"/>
        </w:rPr>
        <w:t xml:space="preserve"> </w:t>
      </w:r>
      <w:r w:rsidR="004160C4">
        <w:rPr>
          <w:rFonts w:ascii="Times New Roman" w:hAnsi="Times New Roman" w:cs="Times New Roman"/>
          <w:sz w:val="24"/>
        </w:rPr>
        <w:t>trabalho,</w:t>
      </w:r>
      <w:r w:rsidR="00097D88" w:rsidRPr="00097D88">
        <w:rPr>
          <w:rFonts w:ascii="Times New Roman" w:hAnsi="Times New Roman" w:cs="Times New Roman"/>
          <w:sz w:val="24"/>
        </w:rPr>
        <w:t xml:space="preserve"> </w:t>
      </w:r>
      <w:r w:rsidR="00097D88">
        <w:rPr>
          <w:rFonts w:ascii="Times New Roman" w:hAnsi="Times New Roman" w:cs="Times New Roman"/>
          <w:sz w:val="24"/>
        </w:rPr>
        <w:t>foram</w:t>
      </w:r>
      <w:r w:rsidR="00097D88" w:rsidRPr="00097D88">
        <w:rPr>
          <w:rFonts w:ascii="Times New Roman" w:hAnsi="Times New Roman" w:cs="Times New Roman"/>
          <w:sz w:val="24"/>
        </w:rPr>
        <w:t xml:space="preserve"> utilizado</w:t>
      </w:r>
      <w:r w:rsidR="00097D88">
        <w:rPr>
          <w:rFonts w:ascii="Times New Roman" w:hAnsi="Times New Roman" w:cs="Times New Roman"/>
          <w:sz w:val="24"/>
        </w:rPr>
        <w:t>s</w:t>
      </w:r>
      <w:r w:rsidR="00097D88" w:rsidRPr="00097D88">
        <w:rPr>
          <w:rFonts w:ascii="Times New Roman" w:hAnsi="Times New Roman" w:cs="Times New Roman"/>
          <w:sz w:val="24"/>
        </w:rPr>
        <w:t xml:space="preserve"> </w:t>
      </w:r>
      <w:r w:rsidR="00097D88">
        <w:rPr>
          <w:rFonts w:ascii="Times New Roman" w:hAnsi="Times New Roman" w:cs="Times New Roman"/>
          <w:sz w:val="24"/>
        </w:rPr>
        <w:t xml:space="preserve">indivíduos de Teca </w:t>
      </w:r>
      <w:r w:rsidR="00097D88" w:rsidRPr="00720002">
        <w:rPr>
          <w:rFonts w:ascii="Times New Roman" w:hAnsi="Times New Roman" w:cs="Times New Roman"/>
          <w:sz w:val="24"/>
        </w:rPr>
        <w:t>(</w:t>
      </w:r>
      <w:r w:rsidR="00097D88" w:rsidRPr="00720002">
        <w:rPr>
          <w:rFonts w:ascii="Times New Roman" w:hAnsi="Times New Roman" w:cs="Times New Roman"/>
          <w:i/>
          <w:sz w:val="24"/>
        </w:rPr>
        <w:t>Tectona grandis</w:t>
      </w:r>
      <w:r w:rsidR="00097D88" w:rsidRPr="00720002">
        <w:rPr>
          <w:rFonts w:ascii="Times New Roman" w:hAnsi="Times New Roman" w:cs="Times New Roman"/>
          <w:sz w:val="24"/>
        </w:rPr>
        <w:t>)</w:t>
      </w:r>
      <w:r w:rsidR="004160C4">
        <w:rPr>
          <w:rFonts w:ascii="Times New Roman" w:hAnsi="Times New Roman" w:cs="Times New Roman"/>
          <w:sz w:val="24"/>
        </w:rPr>
        <w:t xml:space="preserve"> de uma parcela </w:t>
      </w:r>
      <w:r w:rsidR="00097D88">
        <w:rPr>
          <w:rFonts w:ascii="Times New Roman" w:hAnsi="Times New Roman" w:cs="Times New Roman"/>
          <w:sz w:val="24"/>
        </w:rPr>
        <w:t>experimental</w:t>
      </w:r>
      <w:r w:rsidR="00AD7AE9">
        <w:rPr>
          <w:rFonts w:ascii="Times New Roman" w:hAnsi="Times New Roman" w:cs="Times New Roman"/>
          <w:sz w:val="24"/>
        </w:rPr>
        <w:t xml:space="preserve"> abandonada</w:t>
      </w:r>
      <w:r w:rsidR="00097D88">
        <w:rPr>
          <w:rFonts w:ascii="Times New Roman" w:hAnsi="Times New Roman" w:cs="Times New Roman"/>
          <w:sz w:val="24"/>
        </w:rPr>
        <w:t xml:space="preserve"> de 430 m²</w:t>
      </w:r>
      <w:r w:rsidR="00097D88" w:rsidRPr="00097D88">
        <w:rPr>
          <w:rFonts w:ascii="Times New Roman" w:hAnsi="Times New Roman" w:cs="Times New Roman"/>
          <w:sz w:val="24"/>
        </w:rPr>
        <w:t xml:space="preserve">. </w:t>
      </w:r>
      <w:r w:rsidR="00097D88">
        <w:rPr>
          <w:rFonts w:ascii="Times New Roman" w:hAnsi="Times New Roman" w:cs="Times New Roman"/>
          <w:sz w:val="24"/>
        </w:rPr>
        <w:t>Atualmente</w:t>
      </w:r>
      <w:r w:rsidR="004160C4">
        <w:rPr>
          <w:rFonts w:ascii="Times New Roman" w:hAnsi="Times New Roman" w:cs="Times New Roman"/>
          <w:sz w:val="24"/>
        </w:rPr>
        <w:t>,</w:t>
      </w:r>
      <w:r w:rsidR="00097D88">
        <w:rPr>
          <w:rFonts w:ascii="Times New Roman" w:hAnsi="Times New Roman" w:cs="Times New Roman"/>
          <w:sz w:val="24"/>
        </w:rPr>
        <w:t xml:space="preserve"> o plantio está com</w:t>
      </w:r>
      <w:r w:rsidR="00B91060">
        <w:rPr>
          <w:rFonts w:ascii="Times New Roman" w:hAnsi="Times New Roman" w:cs="Times New Roman"/>
          <w:sz w:val="24"/>
        </w:rPr>
        <w:t xml:space="preserve"> aproximadamente</w:t>
      </w:r>
      <w:r w:rsidR="00097D88">
        <w:rPr>
          <w:rFonts w:ascii="Times New Roman" w:hAnsi="Times New Roman" w:cs="Times New Roman"/>
          <w:sz w:val="24"/>
        </w:rPr>
        <w:t xml:space="preserve"> quinze</w:t>
      </w:r>
      <w:r w:rsidR="00097D88" w:rsidRPr="00097D88">
        <w:rPr>
          <w:rFonts w:ascii="Times New Roman" w:hAnsi="Times New Roman" w:cs="Times New Roman"/>
          <w:sz w:val="24"/>
        </w:rPr>
        <w:t xml:space="preserve"> anos de idade e </w:t>
      </w:r>
      <w:r w:rsidR="004160C4">
        <w:rPr>
          <w:rFonts w:ascii="Times New Roman" w:hAnsi="Times New Roman" w:cs="Times New Roman"/>
          <w:sz w:val="24"/>
        </w:rPr>
        <w:t xml:space="preserve">foi </w:t>
      </w:r>
      <w:r w:rsidR="00097D88" w:rsidRPr="00097D88">
        <w:rPr>
          <w:rFonts w:ascii="Times New Roman" w:hAnsi="Times New Roman" w:cs="Times New Roman"/>
          <w:sz w:val="24"/>
        </w:rPr>
        <w:t xml:space="preserve">implantado </w:t>
      </w:r>
      <w:r w:rsidR="004160C4">
        <w:rPr>
          <w:rFonts w:ascii="Times New Roman" w:hAnsi="Times New Roman" w:cs="Times New Roman"/>
          <w:sz w:val="24"/>
        </w:rPr>
        <w:t>no</w:t>
      </w:r>
      <w:r w:rsidR="004160C4" w:rsidRPr="00097D88">
        <w:rPr>
          <w:rFonts w:ascii="Times New Roman" w:hAnsi="Times New Roman" w:cs="Times New Roman"/>
          <w:sz w:val="24"/>
        </w:rPr>
        <w:t xml:space="preserve"> </w:t>
      </w:r>
      <w:r w:rsidR="00097D88" w:rsidRPr="00097D88">
        <w:rPr>
          <w:rFonts w:ascii="Times New Roman" w:hAnsi="Times New Roman" w:cs="Times New Roman"/>
          <w:sz w:val="24"/>
        </w:rPr>
        <w:t>espaçamento 3</w:t>
      </w:r>
      <w:r w:rsidR="00B17BD2">
        <w:rPr>
          <w:rFonts w:ascii="Times New Roman" w:hAnsi="Times New Roman" w:cs="Times New Roman"/>
          <w:sz w:val="24"/>
        </w:rPr>
        <w:t xml:space="preserve"> m</w:t>
      </w:r>
      <w:r w:rsidR="00097D88" w:rsidRPr="00097D88">
        <w:rPr>
          <w:rFonts w:ascii="Times New Roman" w:hAnsi="Times New Roman" w:cs="Times New Roman"/>
          <w:sz w:val="24"/>
        </w:rPr>
        <w:t xml:space="preserve"> × </w:t>
      </w:r>
      <w:r w:rsidR="00852EDE">
        <w:rPr>
          <w:rFonts w:ascii="Times New Roman" w:hAnsi="Times New Roman" w:cs="Times New Roman"/>
          <w:sz w:val="24"/>
        </w:rPr>
        <w:t>2</w:t>
      </w:r>
      <w:r w:rsidR="00097D88" w:rsidRPr="00097D88">
        <w:rPr>
          <w:rFonts w:ascii="Times New Roman" w:hAnsi="Times New Roman" w:cs="Times New Roman"/>
          <w:sz w:val="24"/>
        </w:rPr>
        <w:t> m (</w:t>
      </w:r>
      <w:r w:rsidR="00852EDE">
        <w:rPr>
          <w:rFonts w:ascii="Times New Roman" w:hAnsi="Times New Roman" w:cs="Times New Roman"/>
          <w:sz w:val="24"/>
        </w:rPr>
        <w:t>1666</w:t>
      </w:r>
      <w:r w:rsidR="00097D88" w:rsidRPr="00097D88">
        <w:rPr>
          <w:rFonts w:ascii="Times New Roman" w:hAnsi="Times New Roman" w:cs="Times New Roman"/>
          <w:sz w:val="24"/>
        </w:rPr>
        <w:t> </w:t>
      </w:r>
      <w:r w:rsidR="00097D88">
        <w:rPr>
          <w:rFonts w:ascii="Times New Roman" w:hAnsi="Times New Roman" w:cs="Times New Roman"/>
          <w:sz w:val="24"/>
        </w:rPr>
        <w:t>árvores</w:t>
      </w:r>
      <w:r w:rsidR="004160C4">
        <w:rPr>
          <w:rFonts w:ascii="Times New Roman" w:hAnsi="Times New Roman" w:cs="Times New Roman"/>
          <w:sz w:val="24"/>
        </w:rPr>
        <w:t> </w:t>
      </w:r>
      <w:r w:rsidR="00097D88" w:rsidRPr="00097D88">
        <w:rPr>
          <w:rFonts w:ascii="Times New Roman" w:hAnsi="Times New Roman" w:cs="Times New Roman"/>
          <w:sz w:val="24"/>
        </w:rPr>
        <w:t>ha</w:t>
      </w:r>
      <w:r w:rsidR="00097D88" w:rsidRPr="00097D88">
        <w:rPr>
          <w:rFonts w:ascii="Times New Roman" w:hAnsi="Times New Roman" w:cs="Times New Roman"/>
          <w:sz w:val="24"/>
          <w:vertAlign w:val="superscript"/>
        </w:rPr>
        <w:t>-1</w:t>
      </w:r>
      <w:r w:rsidR="00097D88" w:rsidRPr="00097D88">
        <w:rPr>
          <w:rFonts w:ascii="Times New Roman" w:hAnsi="Times New Roman" w:cs="Times New Roman"/>
          <w:sz w:val="24"/>
        </w:rPr>
        <w:t>).</w:t>
      </w:r>
    </w:p>
    <w:p w14:paraId="252933B8" w14:textId="4E6B9E36" w:rsidR="00110F71" w:rsidRDefault="00110F71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a coleta</w:t>
      </w:r>
      <w:r w:rsidR="00B17BD2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os</w:t>
      </w:r>
      <w:r w:rsidR="00B17BD2">
        <w:rPr>
          <w:rFonts w:ascii="Times New Roman" w:hAnsi="Times New Roman" w:cs="Times New Roman"/>
          <w:sz w:val="24"/>
        </w:rPr>
        <w:t xml:space="preserve"> dados</w:t>
      </w:r>
      <w:r>
        <w:rPr>
          <w:rFonts w:ascii="Times New Roman" w:hAnsi="Times New Roman" w:cs="Times New Roman"/>
          <w:sz w:val="24"/>
        </w:rPr>
        <w:t>, mediram-se</w:t>
      </w:r>
      <w:r w:rsidR="00B17BD2">
        <w:rPr>
          <w:rFonts w:ascii="Times New Roman" w:hAnsi="Times New Roman" w:cs="Times New Roman"/>
          <w:sz w:val="24"/>
        </w:rPr>
        <w:t xml:space="preserve"> todas as árvores do local,</w:t>
      </w:r>
      <w:r w:rsidR="00B17BD2" w:rsidRPr="00B17B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sendo que as</w:t>
      </w:r>
      <w:r w:rsidR="001212BE">
        <w:rPr>
          <w:rFonts w:ascii="Times New Roman" w:hAnsi="Times New Roman" w:cs="Times New Roman"/>
          <w:sz w:val="24"/>
        </w:rPr>
        <w:t xml:space="preserve"> alturas totais das árvores (h)</w:t>
      </w:r>
      <w:r>
        <w:rPr>
          <w:rFonts w:ascii="Times New Roman" w:hAnsi="Times New Roman" w:cs="Times New Roman"/>
          <w:sz w:val="24"/>
        </w:rPr>
        <w:t xml:space="preserve"> foram aferidas</w:t>
      </w:r>
      <w:r w:rsidR="001212BE">
        <w:rPr>
          <w:rFonts w:ascii="Times New Roman" w:hAnsi="Times New Roman" w:cs="Times New Roman"/>
          <w:sz w:val="24"/>
        </w:rPr>
        <w:t xml:space="preserve"> </w:t>
      </w:r>
      <w:r w:rsidR="00B17BD2" w:rsidRPr="00B17BD2">
        <w:rPr>
          <w:rFonts w:ascii="Times New Roman" w:hAnsi="Times New Roman" w:cs="Times New Roman"/>
          <w:sz w:val="24"/>
        </w:rPr>
        <w:lastRenderedPageBreak/>
        <w:t>por meio de um cl</w:t>
      </w:r>
      <w:r w:rsidR="001212BE">
        <w:rPr>
          <w:rFonts w:ascii="Times New Roman" w:hAnsi="Times New Roman" w:cs="Times New Roman"/>
          <w:sz w:val="24"/>
        </w:rPr>
        <w:t xml:space="preserve">inômetro digital (marca </w:t>
      </w:r>
      <w:proofErr w:type="spellStart"/>
      <w:r w:rsidR="001212BE">
        <w:rPr>
          <w:rFonts w:ascii="Times New Roman" w:hAnsi="Times New Roman" w:cs="Times New Roman"/>
          <w:sz w:val="24"/>
        </w:rPr>
        <w:t>Haglöf</w:t>
      </w:r>
      <w:proofErr w:type="spellEnd"/>
      <w:r w:rsidR="001212BE">
        <w:rPr>
          <w:rFonts w:ascii="Times New Roman" w:hAnsi="Times New Roman" w:cs="Times New Roman"/>
          <w:sz w:val="24"/>
        </w:rPr>
        <w:t xml:space="preserve">), </w:t>
      </w:r>
      <w:r w:rsidR="00B17BD2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 xml:space="preserve">para </w:t>
      </w:r>
      <w:r w:rsidR="00B17BD2">
        <w:rPr>
          <w:rFonts w:ascii="Times New Roman" w:hAnsi="Times New Roman" w:cs="Times New Roman"/>
          <w:sz w:val="24"/>
        </w:rPr>
        <w:t xml:space="preserve">os </w:t>
      </w:r>
      <w:r w:rsidR="00B17BD2" w:rsidRPr="00987ADB">
        <w:rPr>
          <w:rFonts w:ascii="Times New Roman" w:eastAsia="Arial" w:hAnsi="Times New Roman" w:cs="Times New Roman"/>
          <w:sz w:val="24"/>
          <w:szCs w:val="24"/>
        </w:rPr>
        <w:t xml:space="preserve">diâmetros </w:t>
      </w:r>
      <w:r>
        <w:rPr>
          <w:rFonts w:ascii="Times New Roman" w:eastAsia="Arial" w:hAnsi="Times New Roman" w:cs="Times New Roman"/>
          <w:sz w:val="24"/>
          <w:szCs w:val="24"/>
        </w:rPr>
        <w:t>à</w:t>
      </w:r>
      <w:r w:rsidR="00B17BD2" w:rsidRPr="00987ADB">
        <w:rPr>
          <w:rFonts w:ascii="Times New Roman" w:eastAsia="Arial" w:hAnsi="Times New Roman" w:cs="Times New Roman"/>
          <w:sz w:val="24"/>
          <w:szCs w:val="24"/>
        </w:rPr>
        <w:t xml:space="preserve"> 1,30 m do solo (DAP)</w:t>
      </w:r>
      <w:r>
        <w:rPr>
          <w:rFonts w:ascii="Times New Roman" w:eastAsia="Arial" w:hAnsi="Times New Roman" w:cs="Times New Roman"/>
          <w:sz w:val="24"/>
          <w:szCs w:val="24"/>
        </w:rPr>
        <w:t xml:space="preserve"> foi utilizada uma </w:t>
      </w:r>
      <w:r w:rsidR="00B17BD2" w:rsidRPr="00987ADB">
        <w:rPr>
          <w:rFonts w:ascii="Times New Roman" w:eastAsia="Arial" w:hAnsi="Times New Roman" w:cs="Times New Roman"/>
          <w:sz w:val="24"/>
          <w:szCs w:val="24"/>
        </w:rPr>
        <w:t xml:space="preserve">suta mecânica de alumínio (marca </w:t>
      </w:r>
      <w:proofErr w:type="spellStart"/>
      <w:r w:rsidR="00B17BD2" w:rsidRPr="00987ADB">
        <w:rPr>
          <w:rFonts w:ascii="Times New Roman" w:eastAsia="Arial" w:hAnsi="Times New Roman" w:cs="Times New Roman"/>
          <w:sz w:val="24"/>
          <w:szCs w:val="24"/>
        </w:rPr>
        <w:t>Haglöf</w:t>
      </w:r>
      <w:proofErr w:type="spellEnd"/>
      <w:r w:rsidR="00B17BD2" w:rsidRPr="00987ADB">
        <w:rPr>
          <w:rFonts w:ascii="Times New Roman" w:eastAsia="Arial" w:hAnsi="Times New Roman" w:cs="Times New Roman"/>
          <w:sz w:val="24"/>
          <w:szCs w:val="24"/>
        </w:rPr>
        <w:t>)</w:t>
      </w:r>
      <w:r w:rsidR="00B17BD2" w:rsidRPr="00B17BD2">
        <w:rPr>
          <w:rFonts w:ascii="Times New Roman" w:hAnsi="Times New Roman" w:cs="Times New Roman"/>
          <w:sz w:val="24"/>
        </w:rPr>
        <w:t>.</w:t>
      </w:r>
      <w:r w:rsidR="007B7174">
        <w:rPr>
          <w:rFonts w:ascii="Times New Roman" w:hAnsi="Times New Roman" w:cs="Times New Roman"/>
          <w:sz w:val="24"/>
        </w:rPr>
        <w:t xml:space="preserve"> </w:t>
      </w:r>
    </w:p>
    <w:p w14:paraId="0B317D2C" w14:textId="538B15BA" w:rsidR="009B3332" w:rsidRDefault="00241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 </w:t>
      </w:r>
      <w:r w:rsidR="00110F71">
        <w:rPr>
          <w:rFonts w:ascii="Times New Roman" w:hAnsi="Times New Roman" w:cs="Times New Roman"/>
          <w:sz w:val="24"/>
        </w:rPr>
        <w:t xml:space="preserve">base na equação proposta por </w:t>
      </w:r>
      <w:proofErr w:type="spellStart"/>
      <w:r w:rsidR="00110F71">
        <w:rPr>
          <w:rFonts w:ascii="Times New Roman" w:hAnsi="Times New Roman" w:cs="Times New Roman"/>
          <w:sz w:val="24"/>
        </w:rPr>
        <w:t>Sturges</w:t>
      </w:r>
      <w:proofErr w:type="spellEnd"/>
      <w:r w:rsidR="00110F71">
        <w:rPr>
          <w:rFonts w:ascii="Times New Roman" w:hAnsi="Times New Roman" w:cs="Times New Roman"/>
          <w:sz w:val="24"/>
        </w:rPr>
        <w:t>, gerou-</w:t>
      </w:r>
      <w:r w:rsidR="006F3C30">
        <w:rPr>
          <w:rFonts w:ascii="Times New Roman" w:hAnsi="Times New Roman" w:cs="Times New Roman"/>
          <w:sz w:val="24"/>
        </w:rPr>
        <w:t>se a</w:t>
      </w:r>
      <w:r>
        <w:rPr>
          <w:rFonts w:ascii="Times New Roman" w:hAnsi="Times New Roman" w:cs="Times New Roman"/>
          <w:sz w:val="24"/>
        </w:rPr>
        <w:t xml:space="preserve"> distribuição diamétrica</w:t>
      </w:r>
      <w:r w:rsidR="006F3B1F">
        <w:rPr>
          <w:rFonts w:ascii="Times New Roman" w:hAnsi="Times New Roman" w:cs="Times New Roman"/>
          <w:sz w:val="24"/>
        </w:rPr>
        <w:t xml:space="preserve"> </w:t>
      </w:r>
      <w:r w:rsidR="00110F71">
        <w:rPr>
          <w:rFonts w:ascii="Times New Roman" w:hAnsi="Times New Roman" w:cs="Times New Roman"/>
          <w:sz w:val="24"/>
        </w:rPr>
        <w:t>do plantio</w:t>
      </w:r>
      <w:r w:rsidR="00905A96">
        <w:rPr>
          <w:rFonts w:ascii="Times New Roman" w:hAnsi="Times New Roman" w:cs="Times New Roman"/>
          <w:sz w:val="24"/>
        </w:rPr>
        <w:t xml:space="preserve">. Por meio da </w:t>
      </w:r>
      <w:r w:rsidR="009B3332" w:rsidRPr="007B7174">
        <w:rPr>
          <w:rFonts w:ascii="Times New Roman" w:hAnsi="Times New Roman" w:cs="Times New Roman"/>
          <w:sz w:val="24"/>
        </w:rPr>
        <w:t xml:space="preserve">fórmula </w:t>
      </w:r>
      <w:r w:rsidR="009B3332">
        <w:rPr>
          <w:rFonts w:ascii="Times New Roman" w:hAnsi="Times New Roman" w:cs="Times New Roman"/>
          <w:sz w:val="24"/>
        </w:rPr>
        <w:t xml:space="preserve">de </w:t>
      </w:r>
      <w:proofErr w:type="spellStart"/>
      <w:r w:rsidR="009B3332">
        <w:rPr>
          <w:rFonts w:ascii="Times New Roman" w:hAnsi="Times New Roman" w:cs="Times New Roman"/>
          <w:sz w:val="24"/>
        </w:rPr>
        <w:t>Smalian</w:t>
      </w:r>
      <w:proofErr w:type="spellEnd"/>
      <w:r w:rsidR="009B3332">
        <w:rPr>
          <w:rFonts w:ascii="Times New Roman" w:hAnsi="Times New Roman" w:cs="Times New Roman"/>
          <w:sz w:val="24"/>
        </w:rPr>
        <w:t xml:space="preserve"> (SOARES et al. 2012)</w:t>
      </w:r>
      <w:r w:rsidR="00905A96">
        <w:rPr>
          <w:rFonts w:ascii="Times New Roman" w:hAnsi="Times New Roman" w:cs="Times New Roman"/>
          <w:sz w:val="24"/>
        </w:rPr>
        <w:t xml:space="preserve">, </w:t>
      </w:r>
      <w:r w:rsidR="009B3332">
        <w:rPr>
          <w:rFonts w:ascii="Times New Roman" w:hAnsi="Times New Roman" w:cs="Times New Roman"/>
          <w:sz w:val="24"/>
        </w:rPr>
        <w:t>foram</w:t>
      </w:r>
      <w:r w:rsidR="00606900">
        <w:rPr>
          <w:rFonts w:ascii="Times New Roman" w:hAnsi="Times New Roman" w:cs="Times New Roman"/>
          <w:sz w:val="24"/>
        </w:rPr>
        <w:t xml:space="preserve"> </w:t>
      </w:r>
      <w:r w:rsidR="00905A96">
        <w:rPr>
          <w:rFonts w:ascii="Times New Roman" w:hAnsi="Times New Roman" w:cs="Times New Roman"/>
          <w:sz w:val="24"/>
        </w:rPr>
        <w:t>cubadas</w:t>
      </w:r>
      <w:r w:rsidR="009B3332">
        <w:rPr>
          <w:rFonts w:ascii="Times New Roman" w:hAnsi="Times New Roman" w:cs="Times New Roman"/>
          <w:sz w:val="24"/>
        </w:rPr>
        <w:t xml:space="preserve"> </w:t>
      </w:r>
      <w:r w:rsidR="0055105B">
        <w:rPr>
          <w:rFonts w:ascii="Times New Roman" w:hAnsi="Times New Roman" w:cs="Times New Roman"/>
          <w:sz w:val="24"/>
        </w:rPr>
        <w:t>cinco</w:t>
      </w:r>
      <w:r w:rsidR="00606900">
        <w:rPr>
          <w:rFonts w:ascii="Times New Roman" w:hAnsi="Times New Roman" w:cs="Times New Roman"/>
          <w:sz w:val="24"/>
        </w:rPr>
        <w:t xml:space="preserve"> árvores</w:t>
      </w:r>
      <w:r w:rsidR="009B3332">
        <w:rPr>
          <w:rFonts w:ascii="Times New Roman" w:hAnsi="Times New Roman" w:cs="Times New Roman"/>
          <w:sz w:val="24"/>
        </w:rPr>
        <w:t xml:space="preserve"> para </w:t>
      </w:r>
      <w:r w:rsidR="000F3737">
        <w:rPr>
          <w:rFonts w:ascii="Times New Roman" w:hAnsi="Times New Roman" w:cs="Times New Roman"/>
          <w:sz w:val="24"/>
        </w:rPr>
        <w:t>r</w:t>
      </w:r>
      <w:r w:rsidR="000F3737" w:rsidRPr="000F3737">
        <w:rPr>
          <w:rFonts w:ascii="Times New Roman" w:hAnsi="Times New Roman" w:cs="Times New Roman"/>
          <w:sz w:val="24"/>
        </w:rPr>
        <w:t>etira</w:t>
      </w:r>
      <w:r w:rsidR="000F3737">
        <w:rPr>
          <w:rFonts w:ascii="Times New Roman" w:hAnsi="Times New Roman" w:cs="Times New Roman"/>
          <w:sz w:val="24"/>
        </w:rPr>
        <w:t xml:space="preserve">da de </w:t>
      </w:r>
      <w:r w:rsidR="009B3332">
        <w:rPr>
          <w:rFonts w:ascii="Times New Roman" w:hAnsi="Times New Roman" w:cs="Times New Roman"/>
          <w:sz w:val="24"/>
        </w:rPr>
        <w:t xml:space="preserve">discos de madeira </w:t>
      </w:r>
      <w:r w:rsidR="000F3737" w:rsidRPr="00606900">
        <w:rPr>
          <w:rFonts w:ascii="Times New Roman" w:hAnsi="Times New Roman" w:cs="Times New Roman"/>
          <w:sz w:val="24"/>
        </w:rPr>
        <w:t xml:space="preserve">em </w:t>
      </w:r>
      <w:r w:rsidR="009B3332">
        <w:rPr>
          <w:rFonts w:ascii="Times New Roman" w:hAnsi="Times New Roman" w:cs="Times New Roman"/>
          <w:sz w:val="24"/>
        </w:rPr>
        <w:t>secções</w:t>
      </w:r>
      <w:r w:rsidR="000F3737" w:rsidRPr="00606900">
        <w:rPr>
          <w:rFonts w:ascii="Times New Roman" w:hAnsi="Times New Roman" w:cs="Times New Roman"/>
          <w:sz w:val="24"/>
        </w:rPr>
        <w:t xml:space="preserve"> pré-definidas (</w:t>
      </w:r>
      <w:r w:rsidR="00905A96">
        <w:rPr>
          <w:rFonts w:ascii="Times New Roman" w:hAnsi="Times New Roman" w:cs="Times New Roman"/>
          <w:sz w:val="24"/>
        </w:rPr>
        <w:t xml:space="preserve">a </w:t>
      </w:r>
      <w:r w:rsidR="000F3737" w:rsidRPr="00606900">
        <w:rPr>
          <w:rFonts w:ascii="Times New Roman" w:hAnsi="Times New Roman" w:cs="Times New Roman"/>
          <w:sz w:val="24"/>
        </w:rPr>
        <w:t>0,3 m; 1,3 m; 3,3 m e a cada 2 metros</w:t>
      </w:r>
      <w:r w:rsidR="000F3737" w:rsidRPr="000F3737">
        <w:rPr>
          <w:rFonts w:ascii="Times New Roman" w:hAnsi="Times New Roman" w:cs="Times New Roman"/>
          <w:sz w:val="24"/>
        </w:rPr>
        <w:t xml:space="preserve"> </w:t>
      </w:r>
      <w:r w:rsidR="000F3737">
        <w:rPr>
          <w:rFonts w:ascii="Times New Roman" w:hAnsi="Times New Roman" w:cs="Times New Roman"/>
          <w:sz w:val="24"/>
        </w:rPr>
        <w:t>ao longo do fuste</w:t>
      </w:r>
      <w:r w:rsidR="000F3737" w:rsidRPr="00606900">
        <w:rPr>
          <w:rFonts w:ascii="Times New Roman" w:hAnsi="Times New Roman" w:cs="Times New Roman"/>
          <w:sz w:val="24"/>
        </w:rPr>
        <w:t>)</w:t>
      </w:r>
      <w:r w:rsidR="000F3737" w:rsidRPr="000F3737">
        <w:rPr>
          <w:rFonts w:ascii="Times New Roman" w:hAnsi="Times New Roman" w:cs="Times New Roman"/>
          <w:sz w:val="24"/>
        </w:rPr>
        <w:t xml:space="preserve">, </w:t>
      </w:r>
      <w:r w:rsidR="009B3332">
        <w:rPr>
          <w:rFonts w:ascii="Times New Roman" w:hAnsi="Times New Roman" w:cs="Times New Roman"/>
          <w:sz w:val="24"/>
        </w:rPr>
        <w:t xml:space="preserve">até </w:t>
      </w:r>
      <w:r w:rsidR="00905A96">
        <w:rPr>
          <w:rFonts w:ascii="Times New Roman" w:hAnsi="Times New Roman" w:cs="Times New Roman"/>
          <w:sz w:val="24"/>
        </w:rPr>
        <w:t>a altura total</w:t>
      </w:r>
      <w:r w:rsidR="003450E1">
        <w:rPr>
          <w:rFonts w:ascii="Times New Roman" w:hAnsi="Times New Roman" w:cs="Times New Roman"/>
          <w:sz w:val="24"/>
        </w:rPr>
        <w:t>.</w:t>
      </w:r>
    </w:p>
    <w:p w14:paraId="049BA8ED" w14:textId="56D7BAAB" w:rsidR="00563FDC" w:rsidRDefault="000F3737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 discos foram levados para laboratório</w:t>
      </w:r>
      <w:r w:rsidR="00E175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 </w:t>
      </w:r>
      <w:r w:rsidR="008D3819">
        <w:rPr>
          <w:rFonts w:ascii="Times New Roman" w:hAnsi="Times New Roman" w:cs="Times New Roman"/>
          <w:sz w:val="24"/>
        </w:rPr>
        <w:t>a obtenção da</w:t>
      </w:r>
      <w:r w:rsidR="007D56B3">
        <w:rPr>
          <w:rFonts w:ascii="Times New Roman" w:hAnsi="Times New Roman" w:cs="Times New Roman"/>
          <w:sz w:val="24"/>
        </w:rPr>
        <w:t xml:space="preserve"> </w:t>
      </w:r>
      <w:r w:rsidR="007D56B3" w:rsidRPr="007D56B3">
        <w:rPr>
          <w:rFonts w:ascii="Times New Roman" w:hAnsi="Times New Roman" w:cs="Times New Roman"/>
          <w:sz w:val="24"/>
        </w:rPr>
        <w:t xml:space="preserve">densidade básica </w:t>
      </w:r>
      <w:r w:rsidR="008D3819">
        <w:rPr>
          <w:rFonts w:ascii="Times New Roman" w:hAnsi="Times New Roman" w:cs="Times New Roman"/>
          <w:sz w:val="24"/>
        </w:rPr>
        <w:t xml:space="preserve">da madeira </w:t>
      </w:r>
      <w:r w:rsidR="00E61425">
        <w:rPr>
          <w:rFonts w:ascii="Times New Roman" w:hAnsi="Times New Roman" w:cs="Times New Roman"/>
          <w:sz w:val="24"/>
        </w:rPr>
        <w:t xml:space="preserve">de acordo com a norma </w:t>
      </w:r>
      <w:r w:rsidR="00E61425" w:rsidRPr="008D3819">
        <w:rPr>
          <w:rFonts w:ascii="Times New Roman" w:hAnsi="Times New Roman" w:cs="Times New Roman"/>
          <w:sz w:val="24"/>
        </w:rPr>
        <w:t>NBR 11941</w:t>
      </w:r>
      <w:r w:rsidR="008D3819">
        <w:rPr>
          <w:rFonts w:ascii="Times New Roman" w:hAnsi="Times New Roman" w:cs="Times New Roman"/>
          <w:sz w:val="24"/>
        </w:rPr>
        <w:t>(ABNT,</w:t>
      </w:r>
      <w:r w:rsidR="00E61425">
        <w:rPr>
          <w:rFonts w:ascii="Times New Roman" w:hAnsi="Times New Roman" w:cs="Times New Roman"/>
          <w:sz w:val="24"/>
        </w:rPr>
        <w:t> 2003)</w:t>
      </w:r>
      <w:r w:rsidR="008D3819">
        <w:rPr>
          <w:rFonts w:ascii="Times New Roman" w:hAnsi="Times New Roman" w:cs="Times New Roman"/>
          <w:sz w:val="24"/>
        </w:rPr>
        <w:t>. Posteriormente, foi obtida a</w:t>
      </w:r>
      <w:r w:rsidR="007D56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densidade básica</w:t>
      </w:r>
      <w:r w:rsidR="008D3819">
        <w:rPr>
          <w:rFonts w:ascii="Times New Roman" w:hAnsi="Times New Roman" w:cs="Times New Roman"/>
          <w:sz w:val="24"/>
        </w:rPr>
        <w:t xml:space="preserve"> média</w:t>
      </w:r>
      <w:r w:rsidR="007B7174">
        <w:rPr>
          <w:rFonts w:ascii="Times New Roman" w:hAnsi="Times New Roman" w:cs="Times New Roman"/>
          <w:sz w:val="24"/>
        </w:rPr>
        <w:t xml:space="preserve"> ponderada</w:t>
      </w:r>
      <w:r w:rsidR="00563FDC">
        <w:rPr>
          <w:rFonts w:ascii="Times New Roman" w:hAnsi="Times New Roman" w:cs="Times New Roman"/>
          <w:sz w:val="24"/>
        </w:rPr>
        <w:t xml:space="preserve"> </w:t>
      </w:r>
      <w:r w:rsidR="008D3819">
        <w:rPr>
          <w:rFonts w:ascii="Times New Roman" w:hAnsi="Times New Roman" w:cs="Times New Roman"/>
          <w:sz w:val="24"/>
        </w:rPr>
        <w:t xml:space="preserve">do tronco comercial </w:t>
      </w:r>
      <w:r w:rsidR="00563FDC">
        <w:rPr>
          <w:rFonts w:ascii="Times New Roman" w:hAnsi="Times New Roman" w:cs="Times New Roman"/>
          <w:sz w:val="24"/>
        </w:rPr>
        <w:t>utilizando-se a Equação</w:t>
      </w:r>
      <w:r w:rsidR="00A126B2">
        <w:rPr>
          <w:rFonts w:ascii="Times New Roman" w:hAnsi="Times New Roman" w:cs="Times New Roman"/>
          <w:sz w:val="24"/>
        </w:rPr>
        <w:t> </w:t>
      </w:r>
      <w:r w:rsidR="007F151C">
        <w:rPr>
          <w:rFonts w:ascii="Times New Roman" w:hAnsi="Times New Roman" w:cs="Times New Roman"/>
          <w:sz w:val="24"/>
        </w:rPr>
        <w:t>1</w:t>
      </w:r>
      <w:r w:rsidR="00563FDC">
        <w:rPr>
          <w:rFonts w:ascii="Times New Roman" w:hAnsi="Times New Roman" w:cs="Times New Roman"/>
          <w:sz w:val="24"/>
        </w:rPr>
        <w:t>.</w:t>
      </w:r>
    </w:p>
    <w:p w14:paraId="62AC3874" w14:textId="77777777" w:rsidR="00563FDC" w:rsidRDefault="00563FDC" w:rsidP="00563F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5296" w:type="dxa"/>
        <w:tblLayout w:type="fixed"/>
        <w:tblLook w:val="04A0" w:firstRow="1" w:lastRow="0" w:firstColumn="1" w:lastColumn="0" w:noHBand="0" w:noVBand="1"/>
      </w:tblPr>
      <w:tblGrid>
        <w:gridCol w:w="3620"/>
        <w:gridCol w:w="1676"/>
      </w:tblGrid>
      <w:tr w:rsidR="00563FDC" w:rsidRPr="008D3819" w14:paraId="660C8E35" w14:textId="77777777" w:rsidTr="00A521A1">
        <w:trPr>
          <w:trHeight w:val="21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14:paraId="03FEA85D" w14:textId="22BE64A1" w:rsidR="00563FDC" w:rsidRPr="005069EA" w:rsidRDefault="001B099C" w:rsidP="005069EA">
            <w:pPr>
              <w:jc w:val="both"/>
              <w:rPr>
                <w:rFonts w:ascii="Times New Roman" w:hAnsi="Times New Roman" w:cs="Times New Roman"/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tronco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seção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tronco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seção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5B8DB2AD" w14:textId="3E8975E5" w:rsidR="00563FDC" w:rsidRPr="005069EA" w:rsidRDefault="00EE0EA9" w:rsidP="00563FDC">
            <w:pPr>
              <w:jc w:val="both"/>
              <w:rPr>
                <w:rFonts w:ascii="Times New Roman" w:hAnsi="Times New Roman" w:cs="Times New Roman"/>
              </w:rPr>
            </w:pPr>
            <w:r w:rsidRPr="005069EA">
              <w:rPr>
                <w:rFonts w:ascii="Times New Roman" w:hAnsi="Times New Roman" w:cs="Times New Roman"/>
              </w:rPr>
              <w:t xml:space="preserve"> </w:t>
            </w:r>
            <w:r w:rsidR="007F151C">
              <w:rPr>
                <w:rFonts w:ascii="Times New Roman" w:hAnsi="Times New Roman" w:cs="Times New Roman"/>
              </w:rPr>
              <w:t>(1</w:t>
            </w:r>
            <w:r w:rsidR="00563FDC" w:rsidRPr="005069EA">
              <w:rPr>
                <w:rFonts w:ascii="Times New Roman" w:hAnsi="Times New Roman" w:cs="Times New Roman"/>
              </w:rPr>
              <w:t>)</w:t>
            </w:r>
          </w:p>
        </w:tc>
      </w:tr>
    </w:tbl>
    <w:p w14:paraId="0AB86EA9" w14:textId="77777777" w:rsidR="00563FDC" w:rsidRPr="008D6C58" w:rsidRDefault="00563FDC" w:rsidP="00563FD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6079EFFB" w14:textId="55562CAB" w:rsidR="00563FDC" w:rsidRPr="00CB6561" w:rsidRDefault="002C2856" w:rsidP="006210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6561">
        <w:rPr>
          <w:rFonts w:ascii="Times New Roman" w:hAnsi="Times New Roman" w:cs="Times New Roman"/>
          <w:sz w:val="24"/>
        </w:rPr>
        <w:t>Em que</w:t>
      </w:r>
      <w:r w:rsidR="00563FDC" w:rsidRPr="00CB6561">
        <w:rPr>
          <w:rFonts w:ascii="Times New Roman" w:hAnsi="Times New Roman" w:cs="Times New Roman"/>
          <w:sz w:val="24"/>
        </w:rPr>
        <w:t>:</w:t>
      </w:r>
    </w:p>
    <w:p w14:paraId="237DE179" w14:textId="40001F20" w:rsidR="00EE0EA9" w:rsidRPr="00CB6561" w:rsidRDefault="005069EA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CB6561">
        <w:rPr>
          <w:rFonts w:ascii="Times New Roman" w:hAnsi="Times New Roman" w:cs="Times New Roman"/>
          <w:iCs/>
          <w:sz w:val="24"/>
        </w:rPr>
        <w:t>DB</w:t>
      </w:r>
      <w:r w:rsidRPr="00CB6561">
        <w:rPr>
          <w:rFonts w:ascii="Times New Roman" w:hAnsi="Times New Roman" w:cs="Times New Roman"/>
          <w:iCs/>
          <w:sz w:val="24"/>
          <w:vertAlign w:val="subscript"/>
        </w:rPr>
        <w:t>seção</w:t>
      </w:r>
      <w:proofErr w:type="spellEnd"/>
      <w:r w:rsidRPr="00CB6561">
        <w:rPr>
          <w:rFonts w:ascii="Times New Roman" w:hAnsi="Times New Roman" w:cs="Times New Roman"/>
          <w:iCs/>
          <w:sz w:val="24"/>
          <w:vertAlign w:val="subscript"/>
        </w:rPr>
        <w:t xml:space="preserve"> </w:t>
      </w:r>
      <w:r w:rsidR="00EE0EA9" w:rsidRPr="00CB6561">
        <w:rPr>
          <w:rFonts w:ascii="Times New Roman" w:hAnsi="Times New Roman" w:cs="Times New Roman"/>
          <w:iCs/>
          <w:sz w:val="24"/>
        </w:rPr>
        <w:t xml:space="preserve">= </w:t>
      </w:r>
      <w:r w:rsidRPr="00CB6561">
        <w:rPr>
          <w:rFonts w:ascii="Times New Roman" w:hAnsi="Times New Roman" w:cs="Times New Roman"/>
          <w:iCs/>
          <w:sz w:val="24"/>
        </w:rPr>
        <w:t>densidade básica da seção em (kg m</w:t>
      </w:r>
      <w:r w:rsidRPr="00CB6561">
        <w:rPr>
          <w:rFonts w:ascii="Times New Roman" w:hAnsi="Times New Roman" w:cs="Times New Roman"/>
          <w:iCs/>
          <w:sz w:val="24"/>
          <w:vertAlign w:val="superscript"/>
        </w:rPr>
        <w:t>-3</w:t>
      </w:r>
      <w:r w:rsidRPr="00CB6561">
        <w:rPr>
          <w:rFonts w:ascii="Times New Roman" w:hAnsi="Times New Roman" w:cs="Times New Roman"/>
          <w:iCs/>
          <w:sz w:val="24"/>
        </w:rPr>
        <w:t>)</w:t>
      </w:r>
      <w:r w:rsidR="00EE0EA9" w:rsidRPr="00CB6561">
        <w:rPr>
          <w:rFonts w:ascii="Times New Roman" w:hAnsi="Times New Roman" w:cs="Times New Roman"/>
          <w:iCs/>
          <w:sz w:val="24"/>
        </w:rPr>
        <w:t>;</w:t>
      </w:r>
    </w:p>
    <w:p w14:paraId="5C7D86F5" w14:textId="0ECDBE33" w:rsidR="00EE0EA9" w:rsidRPr="00CB6561" w:rsidRDefault="005069EA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CB6561">
        <w:rPr>
          <w:rFonts w:ascii="Times New Roman" w:hAnsi="Times New Roman" w:cs="Times New Roman"/>
          <w:iCs/>
          <w:sz w:val="24"/>
        </w:rPr>
        <w:t>DB</w:t>
      </w:r>
      <w:r w:rsidRPr="00CB6561">
        <w:rPr>
          <w:rFonts w:ascii="Times New Roman" w:hAnsi="Times New Roman" w:cs="Times New Roman"/>
          <w:iCs/>
          <w:sz w:val="24"/>
          <w:vertAlign w:val="subscript"/>
        </w:rPr>
        <w:t>tronco</w:t>
      </w:r>
      <w:proofErr w:type="spellEnd"/>
      <w:r w:rsidRPr="00CB6561">
        <w:rPr>
          <w:rFonts w:ascii="Times New Roman" w:hAnsi="Times New Roman" w:cs="Times New Roman"/>
          <w:iCs/>
          <w:sz w:val="24"/>
        </w:rPr>
        <w:t xml:space="preserve"> </w:t>
      </w:r>
      <w:r w:rsidR="00EE0EA9" w:rsidRPr="00CB6561">
        <w:rPr>
          <w:rFonts w:ascii="Times New Roman" w:hAnsi="Times New Roman" w:cs="Times New Roman"/>
          <w:iCs/>
          <w:sz w:val="24"/>
        </w:rPr>
        <w:t xml:space="preserve">= </w:t>
      </w:r>
      <w:r w:rsidRPr="00CB6561">
        <w:rPr>
          <w:rFonts w:ascii="Times New Roman" w:hAnsi="Times New Roman" w:cs="Times New Roman"/>
          <w:iCs/>
          <w:sz w:val="24"/>
        </w:rPr>
        <w:t>densidade básica média ponderada do tronco comercial</w:t>
      </w:r>
      <w:r w:rsidR="00443897" w:rsidRPr="00CB6561">
        <w:rPr>
          <w:rFonts w:ascii="Times New Roman" w:hAnsi="Times New Roman" w:cs="Times New Roman"/>
          <w:iCs/>
          <w:sz w:val="24"/>
        </w:rPr>
        <w:t xml:space="preserve"> (kg m</w:t>
      </w:r>
      <w:r w:rsidR="00EE0EA9" w:rsidRPr="00CB6561">
        <w:rPr>
          <w:rFonts w:ascii="Times New Roman" w:hAnsi="Times New Roman" w:cs="Times New Roman"/>
          <w:iCs/>
          <w:sz w:val="24"/>
          <w:vertAlign w:val="superscript"/>
        </w:rPr>
        <w:t>-3</w:t>
      </w:r>
      <w:r w:rsidR="00443897" w:rsidRPr="00CB6561">
        <w:rPr>
          <w:rFonts w:ascii="Times New Roman" w:hAnsi="Times New Roman" w:cs="Times New Roman"/>
          <w:iCs/>
          <w:sz w:val="24"/>
        </w:rPr>
        <w:t>);</w:t>
      </w:r>
    </w:p>
    <w:p w14:paraId="57ABBF8D" w14:textId="1D776FB7" w:rsidR="00443897" w:rsidRDefault="00CB6561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B6561">
        <w:rPr>
          <w:rFonts w:ascii="Times New Roman" w:hAnsi="Times New Roman" w:cs="Times New Roman"/>
          <w:sz w:val="24"/>
        </w:rPr>
        <w:t>v</w:t>
      </w:r>
      <w:r w:rsidRPr="00CB6561">
        <w:rPr>
          <w:rFonts w:ascii="Times New Roman" w:hAnsi="Times New Roman" w:cs="Times New Roman"/>
          <w:sz w:val="24"/>
          <w:vertAlign w:val="subscript"/>
        </w:rPr>
        <w:t>seção</w:t>
      </w:r>
      <w:proofErr w:type="spellEnd"/>
      <w:r w:rsidRPr="00CB6561">
        <w:rPr>
          <w:rFonts w:ascii="Times New Roman" w:hAnsi="Times New Roman" w:cs="Times New Roman"/>
          <w:sz w:val="24"/>
        </w:rPr>
        <w:t xml:space="preserve"> = volume sem casca da</w:t>
      </w:r>
      <w:r>
        <w:rPr>
          <w:rFonts w:ascii="Times New Roman" w:hAnsi="Times New Roman" w:cs="Times New Roman"/>
          <w:sz w:val="24"/>
        </w:rPr>
        <w:t xml:space="preserve"> seção (m³).</w:t>
      </w:r>
    </w:p>
    <w:p w14:paraId="0A056E50" w14:textId="77777777" w:rsidR="00CB6561" w:rsidRPr="00CB6561" w:rsidRDefault="00CB6561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1DDBDF8C" w14:textId="4D71B013" w:rsidR="000F3737" w:rsidRDefault="00563FDC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</w:t>
      </w:r>
      <w:r w:rsidR="00E17558">
        <w:rPr>
          <w:rFonts w:ascii="Times New Roman" w:hAnsi="Times New Roman" w:cs="Times New Roman"/>
          <w:sz w:val="24"/>
        </w:rPr>
        <w:t xml:space="preserve"> dados da cubagem rigorosa </w:t>
      </w:r>
      <w:r w:rsidR="000F3737">
        <w:rPr>
          <w:rFonts w:ascii="Times New Roman" w:hAnsi="Times New Roman" w:cs="Times New Roman"/>
          <w:sz w:val="24"/>
        </w:rPr>
        <w:t xml:space="preserve">foram </w:t>
      </w:r>
      <w:r w:rsidR="00E17558">
        <w:rPr>
          <w:rFonts w:ascii="Times New Roman" w:hAnsi="Times New Roman" w:cs="Times New Roman"/>
          <w:sz w:val="24"/>
        </w:rPr>
        <w:t>utilizados para</w:t>
      </w:r>
      <w:r w:rsidR="002C2856">
        <w:rPr>
          <w:rFonts w:ascii="Times New Roman" w:hAnsi="Times New Roman" w:cs="Times New Roman"/>
          <w:sz w:val="24"/>
        </w:rPr>
        <w:t xml:space="preserve"> determinar</w:t>
      </w:r>
      <w:r w:rsidR="000F3737">
        <w:rPr>
          <w:rFonts w:ascii="Times New Roman" w:hAnsi="Times New Roman" w:cs="Times New Roman"/>
          <w:sz w:val="24"/>
        </w:rPr>
        <w:t xml:space="preserve"> o fator de forma d</w:t>
      </w:r>
      <w:r w:rsidR="002C2856">
        <w:rPr>
          <w:rFonts w:ascii="Times New Roman" w:hAnsi="Times New Roman" w:cs="Times New Roman"/>
          <w:sz w:val="24"/>
        </w:rPr>
        <w:t xml:space="preserve">o fuste </w:t>
      </w:r>
      <w:r w:rsidR="00A1599A" w:rsidRPr="00A521A1">
        <w:rPr>
          <w:rFonts w:ascii="Times New Roman" w:hAnsi="Times New Roman" w:cs="Times New Roman"/>
          <w:sz w:val="24"/>
        </w:rPr>
        <w:t xml:space="preserve">com casca </w:t>
      </w:r>
      <w:r w:rsidR="002C2856">
        <w:rPr>
          <w:rFonts w:ascii="Times New Roman" w:hAnsi="Times New Roman" w:cs="Times New Roman"/>
          <w:sz w:val="24"/>
        </w:rPr>
        <w:t>das árvores</w:t>
      </w:r>
      <w:r w:rsidR="00E17558">
        <w:rPr>
          <w:rFonts w:ascii="Times New Roman" w:hAnsi="Times New Roman" w:cs="Times New Roman"/>
          <w:sz w:val="24"/>
        </w:rPr>
        <w:t xml:space="preserve"> (Equação </w:t>
      </w:r>
      <w:r w:rsidR="007F151C">
        <w:rPr>
          <w:rFonts w:ascii="Times New Roman" w:hAnsi="Times New Roman" w:cs="Times New Roman"/>
          <w:sz w:val="24"/>
        </w:rPr>
        <w:t>2</w:t>
      </w:r>
      <w:r w:rsidR="00E17558">
        <w:rPr>
          <w:rFonts w:ascii="Times New Roman" w:hAnsi="Times New Roman" w:cs="Times New Roman"/>
          <w:sz w:val="24"/>
        </w:rPr>
        <w:t>).</w:t>
      </w:r>
    </w:p>
    <w:p w14:paraId="171BCF9C" w14:textId="77777777" w:rsidR="00874D26" w:rsidRDefault="00874D26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4185" w:type="dxa"/>
        <w:tblLook w:val="04A0" w:firstRow="1" w:lastRow="0" w:firstColumn="1" w:lastColumn="0" w:noHBand="0" w:noVBand="1"/>
      </w:tblPr>
      <w:tblGrid>
        <w:gridCol w:w="235"/>
        <w:gridCol w:w="3454"/>
        <w:gridCol w:w="496"/>
      </w:tblGrid>
      <w:tr w:rsidR="00E17558" w:rsidRPr="00241218" w14:paraId="7DDD90FB" w14:textId="77777777" w:rsidTr="00874D26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0F84DAB" w14:textId="77777777" w:rsidR="00E17558" w:rsidRPr="00241218" w:rsidRDefault="00E17558" w:rsidP="00A10C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70C86339" w14:textId="77777777" w:rsidR="00E17558" w:rsidRPr="00464948" w:rsidRDefault="00E17558" w:rsidP="00A10C1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f=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cil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937432" w14:textId="58DE233C" w:rsidR="00E17558" w:rsidRPr="00241218" w:rsidRDefault="00E17558" w:rsidP="00563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1218">
              <w:rPr>
                <w:rFonts w:ascii="Times New Roman" w:hAnsi="Times New Roman" w:cs="Times New Roman"/>
                <w:sz w:val="24"/>
              </w:rPr>
              <w:t>(</w:t>
            </w:r>
            <w:r w:rsidR="007F151C">
              <w:rPr>
                <w:rFonts w:ascii="Times New Roman" w:hAnsi="Times New Roman" w:cs="Times New Roman"/>
                <w:sz w:val="24"/>
              </w:rPr>
              <w:t>2</w:t>
            </w:r>
            <w:r w:rsidRPr="002412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168CFB85" w14:textId="77777777" w:rsidR="00E61425" w:rsidRPr="00E61425" w:rsidRDefault="00E61425" w:rsidP="006F3C3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40A7832" w14:textId="4D357316" w:rsidR="00E17558" w:rsidRPr="00E17558" w:rsidRDefault="002C2856" w:rsidP="006F3C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 que</w:t>
      </w:r>
      <w:r w:rsidR="00E17558" w:rsidRPr="00E17558">
        <w:rPr>
          <w:rFonts w:ascii="Times New Roman" w:hAnsi="Times New Roman" w:cs="Times New Roman"/>
          <w:sz w:val="24"/>
        </w:rPr>
        <w:t>:</w:t>
      </w:r>
    </w:p>
    <w:p w14:paraId="30B1E823" w14:textId="77777777" w:rsidR="00E17558" w:rsidRPr="00E17558" w:rsidRDefault="00E17558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f</m:t>
        </m:r>
      </m:oMath>
      <w:r w:rsidRPr="00E17558">
        <w:rPr>
          <w:rFonts w:ascii="Times New Roman" w:hAnsi="Times New Roman" w:cs="Times New Roman"/>
          <w:sz w:val="24"/>
        </w:rPr>
        <w:t xml:space="preserve"> = fator de forma absoluto</w:t>
      </w:r>
      <w:r w:rsidR="004D778B">
        <w:rPr>
          <w:rFonts w:ascii="Times New Roman" w:hAnsi="Times New Roman" w:cs="Times New Roman"/>
          <w:sz w:val="24"/>
        </w:rPr>
        <w:t xml:space="preserve"> (adimensional)</w:t>
      </w:r>
      <w:r w:rsidRPr="00E17558">
        <w:rPr>
          <w:rFonts w:ascii="Times New Roman" w:hAnsi="Times New Roman" w:cs="Times New Roman"/>
          <w:sz w:val="24"/>
        </w:rPr>
        <w:t xml:space="preserve">; </w:t>
      </w:r>
    </w:p>
    <w:p w14:paraId="3423559E" w14:textId="57FB16E2" w:rsidR="00E17558" w:rsidRPr="00E17558" w:rsidRDefault="001B099C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r</m:t>
            </m:r>
          </m:sub>
        </m:sSub>
      </m:oMath>
      <w:r w:rsidR="00E17558" w:rsidRPr="00E17558">
        <w:rPr>
          <w:rFonts w:ascii="Times New Roman" w:hAnsi="Times New Roman" w:cs="Times New Roman"/>
          <w:sz w:val="24"/>
        </w:rPr>
        <w:t>= volume real obtido pela cubagem</w:t>
      </w:r>
      <w:r w:rsidR="00F821B1">
        <w:rPr>
          <w:rFonts w:ascii="Times New Roman" w:hAnsi="Times New Roman" w:cs="Times New Roman"/>
          <w:sz w:val="24"/>
        </w:rPr>
        <w:t> </w:t>
      </w:r>
      <w:r w:rsidR="004D778B">
        <w:rPr>
          <w:rFonts w:ascii="Times New Roman" w:hAnsi="Times New Roman" w:cs="Times New Roman"/>
          <w:sz w:val="24"/>
        </w:rPr>
        <w:t>(m³)</w:t>
      </w:r>
      <w:r w:rsidR="00E17558" w:rsidRPr="00E17558">
        <w:rPr>
          <w:rFonts w:ascii="Times New Roman" w:hAnsi="Times New Roman" w:cs="Times New Roman"/>
          <w:sz w:val="24"/>
        </w:rPr>
        <w:t>;</w:t>
      </w:r>
    </w:p>
    <w:p w14:paraId="4A984C24" w14:textId="77777777" w:rsidR="00E17558" w:rsidRPr="00E17558" w:rsidRDefault="001B099C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cil</m:t>
            </m:r>
          </m:sub>
        </m:sSub>
      </m:oMath>
      <w:r w:rsidR="00E17558" w:rsidRPr="00E17558">
        <w:rPr>
          <w:rFonts w:ascii="Times New Roman" w:hAnsi="Times New Roman" w:cs="Times New Roman"/>
          <w:sz w:val="24"/>
        </w:rPr>
        <w:t xml:space="preserve"> = volume do cilindro</w:t>
      </w:r>
      <w:r w:rsidR="004D778B">
        <w:rPr>
          <w:rFonts w:ascii="Times New Roman" w:hAnsi="Times New Roman" w:cs="Times New Roman"/>
          <w:sz w:val="24"/>
        </w:rPr>
        <w:t xml:space="preserve"> (m³)</w:t>
      </w:r>
    </w:p>
    <w:p w14:paraId="4FADCE54" w14:textId="77777777" w:rsidR="00E17558" w:rsidRPr="007B7174" w:rsidRDefault="00E17558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59D150C5" w14:textId="2D6063EF" w:rsidR="008D0FCF" w:rsidRPr="001254CB" w:rsidRDefault="002C2856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Considerou-se um </w:t>
      </w:r>
      <w:r w:rsidR="001254CB" w:rsidRPr="001254CB">
        <w:rPr>
          <w:rFonts w:ascii="Times New Roman" w:hAnsi="Times New Roman" w:cs="Times New Roman"/>
          <w:sz w:val="24"/>
        </w:rPr>
        <w:t xml:space="preserve">diâmetro mínimo para o uso da madeira </w:t>
      </w:r>
      <w:r>
        <w:rPr>
          <w:rFonts w:ascii="Times New Roman" w:hAnsi="Times New Roman" w:cs="Times New Roman"/>
          <w:sz w:val="24"/>
        </w:rPr>
        <w:t xml:space="preserve">como </w:t>
      </w:r>
      <w:r w:rsidR="001254CB" w:rsidRPr="001254CB">
        <w:rPr>
          <w:rFonts w:ascii="Times New Roman" w:hAnsi="Times New Roman" w:cs="Times New Roman"/>
          <w:sz w:val="24"/>
        </w:rPr>
        <w:t>lenha de 8 cm</w:t>
      </w:r>
      <w:r>
        <w:rPr>
          <w:rFonts w:ascii="Times New Roman" w:hAnsi="Times New Roman" w:cs="Times New Roman"/>
          <w:sz w:val="24"/>
        </w:rPr>
        <w:t xml:space="preserve"> (</w:t>
      </w:r>
      <w:r w:rsidRPr="001254C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IMIONE </w:t>
      </w:r>
      <w:r w:rsidRPr="001254CB">
        <w:rPr>
          <w:rFonts w:ascii="Times New Roman" w:hAnsi="Times New Roman" w:cs="Times New Roman"/>
          <w:sz w:val="24"/>
        </w:rPr>
        <w:t>et al.</w:t>
      </w:r>
      <w:r>
        <w:rPr>
          <w:rFonts w:ascii="Times New Roman" w:hAnsi="Times New Roman" w:cs="Times New Roman"/>
          <w:sz w:val="24"/>
        </w:rPr>
        <w:t>,</w:t>
      </w:r>
      <w:r w:rsidRPr="001254CB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>)</w:t>
      </w:r>
      <w:r w:rsidRPr="001254C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 utilizou-se este</w:t>
      </w:r>
      <w:r w:rsidR="001254CB" w:rsidRPr="001254CB">
        <w:rPr>
          <w:rFonts w:ascii="Times New Roman" w:hAnsi="Times New Roman" w:cs="Times New Roman"/>
          <w:sz w:val="24"/>
        </w:rPr>
        <w:t xml:space="preserve"> critério </w:t>
      </w:r>
      <w:r>
        <w:rPr>
          <w:rFonts w:ascii="Times New Roman" w:hAnsi="Times New Roman" w:cs="Times New Roman"/>
          <w:sz w:val="24"/>
        </w:rPr>
        <w:t>para a</w:t>
      </w:r>
      <w:r w:rsidR="001254CB" w:rsidRPr="001254CB">
        <w:rPr>
          <w:rFonts w:ascii="Times New Roman" w:hAnsi="Times New Roman" w:cs="Times New Roman"/>
          <w:sz w:val="24"/>
        </w:rPr>
        <w:t xml:space="preserve"> seleção das classes de diâmetro</w:t>
      </w:r>
      <w:r w:rsidR="005F49D8">
        <w:rPr>
          <w:rFonts w:ascii="Times New Roman" w:hAnsi="Times New Roman" w:cs="Times New Roman"/>
          <w:sz w:val="24"/>
        </w:rPr>
        <w:t xml:space="preserve"> suprimidas</w:t>
      </w:r>
      <w:r>
        <w:rPr>
          <w:rFonts w:ascii="Times New Roman" w:hAnsi="Times New Roman" w:cs="Times New Roman"/>
          <w:sz w:val="24"/>
        </w:rPr>
        <w:t xml:space="preserve"> </w:t>
      </w:r>
      <w:r w:rsidR="00A10C11">
        <w:rPr>
          <w:rFonts w:ascii="Times New Roman" w:hAnsi="Times New Roman" w:cs="Times New Roman"/>
          <w:sz w:val="24"/>
        </w:rPr>
        <w:t>para a simulação de um</w:t>
      </w:r>
      <w:r>
        <w:rPr>
          <w:rFonts w:ascii="Times New Roman" w:hAnsi="Times New Roman" w:cs="Times New Roman"/>
          <w:sz w:val="24"/>
        </w:rPr>
        <w:t xml:space="preserve"> desbaste </w:t>
      </w:r>
      <w:r w:rsidR="00A10C11">
        <w:rPr>
          <w:rFonts w:ascii="Times New Roman" w:hAnsi="Times New Roman" w:cs="Times New Roman"/>
          <w:sz w:val="24"/>
        </w:rPr>
        <w:t>por baixo.</w:t>
      </w:r>
    </w:p>
    <w:p w14:paraId="4E1470C1" w14:textId="4F543D86" w:rsidR="009D39EC" w:rsidRDefault="009D39EC" w:rsidP="007E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o cálculo de volume </w:t>
      </w:r>
      <w:r w:rsidR="006F3B1F">
        <w:rPr>
          <w:rFonts w:ascii="Times New Roman" w:hAnsi="Times New Roman" w:cs="Times New Roman"/>
          <w:sz w:val="24"/>
        </w:rPr>
        <w:t xml:space="preserve">de </w:t>
      </w:r>
      <w:r w:rsidR="005F49D8">
        <w:rPr>
          <w:rFonts w:ascii="Times New Roman" w:hAnsi="Times New Roman" w:cs="Times New Roman"/>
          <w:sz w:val="24"/>
        </w:rPr>
        <w:t>madeira das</w:t>
      </w:r>
      <w:r w:rsidR="008D0FCF">
        <w:rPr>
          <w:rFonts w:ascii="Times New Roman" w:hAnsi="Times New Roman" w:cs="Times New Roman"/>
          <w:sz w:val="24"/>
        </w:rPr>
        <w:t xml:space="preserve"> árvores, </w:t>
      </w:r>
      <w:r w:rsidR="004B2CB0">
        <w:rPr>
          <w:rFonts w:ascii="Times New Roman" w:hAnsi="Times New Roman" w:cs="Times New Roman"/>
          <w:sz w:val="24"/>
        </w:rPr>
        <w:t>foi utilizada a</w:t>
      </w:r>
      <w:r>
        <w:rPr>
          <w:rFonts w:ascii="Times New Roman" w:hAnsi="Times New Roman" w:cs="Times New Roman"/>
          <w:sz w:val="24"/>
        </w:rPr>
        <w:t xml:space="preserve"> </w:t>
      </w:r>
      <w:r w:rsidR="00F17D10">
        <w:rPr>
          <w:rFonts w:ascii="Times New Roman" w:hAnsi="Times New Roman" w:cs="Times New Roman"/>
          <w:sz w:val="24"/>
        </w:rPr>
        <w:t>Equação</w:t>
      </w:r>
      <w:r w:rsidR="007F151C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, </w:t>
      </w:r>
      <w:r w:rsidR="004D778B">
        <w:rPr>
          <w:rFonts w:ascii="Times New Roman" w:hAnsi="Times New Roman" w:cs="Times New Roman"/>
          <w:sz w:val="24"/>
        </w:rPr>
        <w:t xml:space="preserve">de acordo com os trabalhos de </w:t>
      </w:r>
      <w:proofErr w:type="spellStart"/>
      <w:r w:rsidR="004D778B">
        <w:rPr>
          <w:rFonts w:ascii="Times New Roman" w:hAnsi="Times New Roman" w:cs="Times New Roman"/>
          <w:sz w:val="24"/>
        </w:rPr>
        <w:t>Loestsch</w:t>
      </w:r>
      <w:proofErr w:type="spellEnd"/>
      <w:r w:rsidR="004D778B">
        <w:rPr>
          <w:rFonts w:ascii="Times New Roman" w:hAnsi="Times New Roman" w:cs="Times New Roman"/>
          <w:sz w:val="24"/>
        </w:rPr>
        <w:t xml:space="preserve"> et al. (1973)</w:t>
      </w:r>
      <w:r w:rsidR="006F3B1F">
        <w:rPr>
          <w:rFonts w:ascii="Times New Roman" w:hAnsi="Times New Roman" w:cs="Times New Roman"/>
          <w:sz w:val="24"/>
        </w:rPr>
        <w:t xml:space="preserve"> </w:t>
      </w:r>
      <w:r w:rsidR="004D778B">
        <w:rPr>
          <w:rFonts w:ascii="Times New Roman" w:hAnsi="Times New Roman" w:cs="Times New Roman"/>
          <w:sz w:val="24"/>
        </w:rPr>
        <w:t>e SILVA et al. (2015)</w:t>
      </w:r>
      <w:r w:rsidR="006F3B1F">
        <w:rPr>
          <w:rFonts w:ascii="Times New Roman" w:hAnsi="Times New Roman" w:cs="Times New Roman"/>
          <w:sz w:val="24"/>
        </w:rPr>
        <w:t>.</w:t>
      </w:r>
      <w:r w:rsidR="004D778B">
        <w:rPr>
          <w:rFonts w:ascii="Times New Roman" w:hAnsi="Times New Roman" w:cs="Times New Roman"/>
          <w:sz w:val="24"/>
        </w:rPr>
        <w:t xml:space="preserve"> </w:t>
      </w:r>
    </w:p>
    <w:p w14:paraId="01367821" w14:textId="77777777" w:rsidR="008A1CCC" w:rsidRDefault="008A1CCC" w:rsidP="00DC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4452" w:type="dxa"/>
        <w:jc w:val="center"/>
        <w:tblLook w:val="04A0" w:firstRow="1" w:lastRow="0" w:firstColumn="1" w:lastColumn="0" w:noHBand="0" w:noVBand="1"/>
      </w:tblPr>
      <w:tblGrid>
        <w:gridCol w:w="249"/>
        <w:gridCol w:w="3676"/>
        <w:gridCol w:w="527"/>
      </w:tblGrid>
      <w:tr w:rsidR="008A1CCC" w:rsidRPr="00241218" w14:paraId="247DDDA0" w14:textId="77777777" w:rsidTr="008A1CCC">
        <w:trPr>
          <w:trHeight w:val="414"/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1AB3F90" w14:textId="77777777" w:rsidR="008A1CCC" w:rsidRPr="00241218" w:rsidRDefault="008A1CCC" w:rsidP="00A10C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1B24C48" w14:textId="77777777" w:rsidR="008A1CCC" w:rsidRPr="00241218" w:rsidRDefault="008A1CCC" w:rsidP="00A10C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70254ABF" w14:textId="42E67188" w:rsidR="008A1CCC" w:rsidRDefault="006F3B1F" w:rsidP="008A1CCC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-Italic"/>
                    <w:sz w:val="23"/>
                    <w:szCs w:val="23"/>
                  </w:rPr>
                  <m:t>Vm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πd²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40000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*H* f</m:t>
                </m:r>
              </m:oMath>
            </m:oMathPara>
          </w:p>
          <w:p w14:paraId="61B168C9" w14:textId="77777777" w:rsidR="008A1CCC" w:rsidRPr="00E61425" w:rsidRDefault="008A1CCC" w:rsidP="00A10C11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E0DDA55" w14:textId="17B6E16B" w:rsidR="008A1CCC" w:rsidRPr="00241218" w:rsidRDefault="008A1CCC" w:rsidP="00563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1218">
              <w:rPr>
                <w:rFonts w:ascii="Times New Roman" w:hAnsi="Times New Roman" w:cs="Times New Roman"/>
                <w:sz w:val="24"/>
              </w:rPr>
              <w:t>(</w:t>
            </w:r>
            <w:r w:rsidR="007F151C">
              <w:rPr>
                <w:rFonts w:ascii="Times New Roman" w:hAnsi="Times New Roman" w:cs="Times New Roman"/>
                <w:sz w:val="24"/>
              </w:rPr>
              <w:t>3</w:t>
            </w:r>
            <w:r w:rsidRPr="002412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0BAC0896" w14:textId="523B45BA" w:rsidR="004D778B" w:rsidRDefault="002C2856" w:rsidP="006F3C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 que</w:t>
      </w:r>
      <w:r w:rsidR="004D778B" w:rsidRPr="00E17558">
        <w:rPr>
          <w:rFonts w:ascii="Times New Roman" w:hAnsi="Times New Roman" w:cs="Times New Roman"/>
          <w:sz w:val="24"/>
        </w:rPr>
        <w:t>:</w:t>
      </w:r>
    </w:p>
    <w:p w14:paraId="61D22494" w14:textId="1D9E3DD5" w:rsidR="006F3B1F" w:rsidRDefault="006F3B1F" w:rsidP="004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</w:t>
      </w:r>
      <w:r w:rsidR="00F821B1"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 = volume de madeira (m³)</w:t>
      </w:r>
    </w:p>
    <w:p w14:paraId="55D2238C" w14:textId="77777777" w:rsidR="006F3B1F" w:rsidRPr="00E17558" w:rsidRDefault="006F3B1F" w:rsidP="004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= diâmetro das árvores de desbaste medidos à 1,30 m de solo (DAP);</w:t>
      </w:r>
    </w:p>
    <w:p w14:paraId="79AA8D45" w14:textId="77777777" w:rsidR="004D778B" w:rsidRPr="00E17558" w:rsidRDefault="004D778B" w:rsidP="004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f</m:t>
        </m:r>
      </m:oMath>
      <w:r w:rsidRPr="00E17558">
        <w:rPr>
          <w:rFonts w:ascii="Times New Roman" w:hAnsi="Times New Roman" w:cs="Times New Roman"/>
          <w:sz w:val="24"/>
        </w:rPr>
        <w:t xml:space="preserve"> = fator de forma absoluto</w:t>
      </w:r>
      <w:r w:rsidR="004B2CB0">
        <w:rPr>
          <w:rFonts w:ascii="Times New Roman" w:hAnsi="Times New Roman" w:cs="Times New Roman"/>
          <w:sz w:val="24"/>
        </w:rPr>
        <w:t> </w:t>
      </w:r>
      <w:r w:rsidR="006F3B1F">
        <w:rPr>
          <w:rFonts w:ascii="Times New Roman" w:hAnsi="Times New Roman" w:cs="Times New Roman"/>
          <w:sz w:val="24"/>
        </w:rPr>
        <w:t>(adimensional)</w:t>
      </w:r>
      <w:r w:rsidRPr="00E17558">
        <w:rPr>
          <w:rFonts w:ascii="Times New Roman" w:hAnsi="Times New Roman" w:cs="Times New Roman"/>
          <w:sz w:val="24"/>
        </w:rPr>
        <w:t xml:space="preserve">; </w:t>
      </w:r>
    </w:p>
    <w:p w14:paraId="1EFA80FC" w14:textId="77777777" w:rsidR="004D778B" w:rsidRDefault="006F3B1F" w:rsidP="004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 </w:t>
      </w:r>
      <w:r w:rsidR="004D778B" w:rsidRPr="00E17558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altura das árvores do desbaste</w:t>
      </w:r>
      <w:r w:rsidR="004B2C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(m)</w:t>
      </w:r>
      <w:r w:rsidR="004D778B" w:rsidRPr="00E17558">
        <w:rPr>
          <w:rFonts w:ascii="Times New Roman" w:hAnsi="Times New Roman" w:cs="Times New Roman"/>
          <w:sz w:val="24"/>
        </w:rPr>
        <w:t>;</w:t>
      </w:r>
    </w:p>
    <w:p w14:paraId="0B331333" w14:textId="77777777" w:rsidR="004B2CB0" w:rsidRDefault="004B2CB0" w:rsidP="004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174423A" w14:textId="7F1FA78D" w:rsidR="004B2CB0" w:rsidRPr="00E17558" w:rsidRDefault="004B2CB0" w:rsidP="004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cálculo da biomassa seca de ma</w:t>
      </w:r>
      <w:r w:rsidR="007F151C">
        <w:rPr>
          <w:rFonts w:ascii="Times New Roman" w:hAnsi="Times New Roman" w:cs="Times New Roman"/>
          <w:sz w:val="24"/>
        </w:rPr>
        <w:t>deira foi obtido com a Equação 4</w:t>
      </w:r>
      <w:r>
        <w:rPr>
          <w:rFonts w:ascii="Times New Roman" w:hAnsi="Times New Roman" w:cs="Times New Roman"/>
          <w:sz w:val="24"/>
        </w:rPr>
        <w:t>, conforme realizado por RIBEIRO et. al (2009).</w:t>
      </w:r>
    </w:p>
    <w:p w14:paraId="241D757A" w14:textId="77777777" w:rsidR="004D778B" w:rsidRDefault="004D778B" w:rsidP="004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4452" w:type="dxa"/>
        <w:jc w:val="center"/>
        <w:tblLook w:val="04A0" w:firstRow="1" w:lastRow="0" w:firstColumn="1" w:lastColumn="0" w:noHBand="0" w:noVBand="1"/>
      </w:tblPr>
      <w:tblGrid>
        <w:gridCol w:w="3894"/>
        <w:gridCol w:w="558"/>
      </w:tblGrid>
      <w:tr w:rsidR="006F3B1F" w:rsidRPr="00241218" w14:paraId="111A420F" w14:textId="77777777" w:rsidTr="004B2CB0">
        <w:trPr>
          <w:trHeight w:val="414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14:paraId="5D74D00C" w14:textId="2CE94E88" w:rsidR="002C2856" w:rsidRDefault="001B099C" w:rsidP="00E61425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-Italic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-Italic"/>
                        <w:sz w:val="23"/>
                        <w:szCs w:val="23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-Italic"/>
                        <w:sz w:val="23"/>
                        <w:szCs w:val="23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=V*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DB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tronco</m:t>
                    </m:r>
                  </m:sub>
                </m:sSub>
              </m:oMath>
            </m:oMathPara>
          </w:p>
          <w:p w14:paraId="6C532814" w14:textId="77777777" w:rsidR="00E61425" w:rsidRPr="00E61425" w:rsidRDefault="00E6142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4FB756" w14:textId="749DFF2C" w:rsidR="006F3B1F" w:rsidRPr="006F3C30" w:rsidRDefault="002C28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 que</w:t>
            </w:r>
            <w:r w:rsidRPr="00E1755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B395261" w14:textId="3B7F0D7C" w:rsidR="006F3B1F" w:rsidRPr="00241218" w:rsidRDefault="006F3B1F" w:rsidP="00F1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1218">
              <w:rPr>
                <w:rFonts w:ascii="Times New Roman" w:hAnsi="Times New Roman" w:cs="Times New Roman"/>
                <w:sz w:val="24"/>
              </w:rPr>
              <w:t>(</w:t>
            </w:r>
            <w:r w:rsidR="007F151C">
              <w:rPr>
                <w:rFonts w:ascii="Times New Roman" w:hAnsi="Times New Roman" w:cs="Times New Roman"/>
                <w:sz w:val="24"/>
              </w:rPr>
              <w:t>4</w:t>
            </w:r>
            <w:r w:rsidRPr="002412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4028902A" w14:textId="77777777" w:rsidR="00F821B1" w:rsidRDefault="00F821B1" w:rsidP="00F8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Bs</w:t>
      </w:r>
      <w:proofErr w:type="spellEnd"/>
      <w:r>
        <w:rPr>
          <w:rFonts w:ascii="Times New Roman" w:hAnsi="Times New Roman" w:cs="Times New Roman"/>
          <w:sz w:val="24"/>
        </w:rPr>
        <w:t xml:space="preserve"> = biomassa seca de madeira (</w:t>
      </w:r>
      <w:proofErr w:type="spellStart"/>
      <w:r>
        <w:rPr>
          <w:rFonts w:ascii="Times New Roman" w:hAnsi="Times New Roman" w:cs="Times New Roman"/>
          <w:sz w:val="24"/>
        </w:rPr>
        <w:t>ton</w:t>
      </w:r>
      <w:proofErr w:type="spellEnd"/>
      <w:r>
        <w:rPr>
          <w:rFonts w:ascii="Times New Roman" w:hAnsi="Times New Roman" w:cs="Times New Roman"/>
          <w:sz w:val="24"/>
        </w:rPr>
        <w:t> ha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);</w:t>
      </w:r>
    </w:p>
    <w:p w14:paraId="399C66D6" w14:textId="2672A7C6" w:rsidR="00CE1BB1" w:rsidRDefault="004B2CB0" w:rsidP="004D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= volume de madeira (m³ ha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);</w:t>
      </w:r>
    </w:p>
    <w:p w14:paraId="4021DFA8" w14:textId="0F83ECA7" w:rsidR="004B2CB0" w:rsidRPr="004B2CB0" w:rsidRDefault="00F821B1" w:rsidP="004D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DB</w:t>
      </w:r>
      <w:r>
        <w:rPr>
          <w:rFonts w:ascii="Times New Roman" w:hAnsi="Times New Roman" w:cs="Times New Roman"/>
          <w:sz w:val="24"/>
          <w:vertAlign w:val="subscript"/>
        </w:rPr>
        <w:t>tronco</w:t>
      </w:r>
      <w:proofErr w:type="spellEnd"/>
      <w:r w:rsidR="004B2CB0">
        <w:rPr>
          <w:rFonts w:ascii="Times New Roman" w:hAnsi="Times New Roman" w:cs="Times New Roman"/>
          <w:sz w:val="24"/>
        </w:rPr>
        <w:t xml:space="preserve"> = densidade básica (kg m</w:t>
      </w:r>
      <w:r w:rsidR="004B2CB0">
        <w:rPr>
          <w:rFonts w:ascii="Times New Roman" w:hAnsi="Times New Roman" w:cs="Times New Roman"/>
          <w:sz w:val="24"/>
          <w:vertAlign w:val="superscript"/>
        </w:rPr>
        <w:t>-3</w:t>
      </w:r>
      <w:r w:rsidR="004B2CB0">
        <w:rPr>
          <w:rFonts w:ascii="Times New Roman" w:hAnsi="Times New Roman" w:cs="Times New Roman"/>
          <w:sz w:val="24"/>
        </w:rPr>
        <w:t>).</w:t>
      </w:r>
    </w:p>
    <w:p w14:paraId="6E8E078C" w14:textId="350E601F" w:rsidR="004B2CB0" w:rsidRDefault="004B2CB0" w:rsidP="004D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38A51FE" w14:textId="5A1EB261" w:rsidR="00375F79" w:rsidRDefault="00A51F6E" w:rsidP="0037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potencial energético foi obtido através da </w:t>
      </w:r>
      <w:r w:rsidR="007F151C">
        <w:rPr>
          <w:rFonts w:ascii="Times New Roman" w:hAnsi="Times New Roman" w:cs="Times New Roman"/>
          <w:sz w:val="24"/>
        </w:rPr>
        <w:t>Equação 5</w:t>
      </w:r>
      <w:r w:rsidR="00F17D10">
        <w:rPr>
          <w:rFonts w:ascii="Times New Roman" w:hAnsi="Times New Roman" w:cs="Times New Roman"/>
          <w:sz w:val="24"/>
        </w:rPr>
        <w:t xml:space="preserve">, conforme por </w:t>
      </w:r>
      <w:r w:rsidR="00F74E1C">
        <w:rPr>
          <w:rFonts w:ascii="Times New Roman" w:hAnsi="Times New Roman" w:cs="Times New Roman"/>
          <w:sz w:val="24"/>
        </w:rPr>
        <w:t xml:space="preserve">Eufrade </w:t>
      </w:r>
      <w:r w:rsidR="00F17D10" w:rsidRPr="00F17D10">
        <w:rPr>
          <w:rFonts w:ascii="Times New Roman" w:hAnsi="Times New Roman" w:cs="Times New Roman"/>
          <w:sz w:val="24"/>
        </w:rPr>
        <w:t>Junior</w:t>
      </w:r>
      <w:r w:rsidR="00F74E1C">
        <w:rPr>
          <w:rFonts w:ascii="Times New Roman" w:hAnsi="Times New Roman" w:cs="Times New Roman"/>
          <w:sz w:val="24"/>
        </w:rPr>
        <w:t xml:space="preserve"> et. al</w:t>
      </w:r>
      <w:r w:rsidR="00F17D10">
        <w:rPr>
          <w:rFonts w:ascii="Times New Roman" w:hAnsi="Times New Roman" w:cs="Times New Roman"/>
          <w:sz w:val="24"/>
        </w:rPr>
        <w:t xml:space="preserve"> (</w:t>
      </w:r>
      <w:r w:rsidR="00F74E1C">
        <w:rPr>
          <w:rFonts w:ascii="Times New Roman" w:hAnsi="Times New Roman" w:cs="Times New Roman"/>
          <w:sz w:val="24"/>
        </w:rPr>
        <w:t>2016</w:t>
      </w:r>
      <w:r w:rsidR="00F17D10">
        <w:rPr>
          <w:rFonts w:ascii="Times New Roman" w:hAnsi="Times New Roman" w:cs="Times New Roman"/>
          <w:sz w:val="24"/>
        </w:rPr>
        <w:t>).</w:t>
      </w:r>
    </w:p>
    <w:p w14:paraId="75C4D62E" w14:textId="1B59AB88" w:rsidR="00F17D10" w:rsidRDefault="00F17D10" w:rsidP="0037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4452" w:type="dxa"/>
        <w:jc w:val="center"/>
        <w:tblLook w:val="04A0" w:firstRow="1" w:lastRow="0" w:firstColumn="1" w:lastColumn="0" w:noHBand="0" w:noVBand="1"/>
      </w:tblPr>
      <w:tblGrid>
        <w:gridCol w:w="3894"/>
        <w:gridCol w:w="558"/>
      </w:tblGrid>
      <w:tr w:rsidR="00F17D10" w:rsidRPr="00241218" w14:paraId="22A2E8AD" w14:textId="77777777" w:rsidTr="00AA2B14">
        <w:trPr>
          <w:trHeight w:val="414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14:paraId="24B989C5" w14:textId="2C2E9BE6" w:rsidR="00F17D10" w:rsidRDefault="00F17D10" w:rsidP="00AA2B14">
            <w:pPr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-Italic"/>
                    <w:sz w:val="23"/>
                    <w:szCs w:val="23"/>
                  </w:rPr>
                  <m:t>PE</m:t>
                </m:r>
                <m:r>
                  <w:rPr>
                    <w:rFonts w:ascii="Cambria Math" w:hAnsi="Cambria Math" w:cs="Times New Roman"/>
                    <w:sz w:val="24"/>
                  </w:rPr>
                  <m:t>=PCS*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s</m:t>
                    </m:r>
                  </m:sub>
                </m:sSub>
              </m:oMath>
            </m:oMathPara>
          </w:p>
          <w:p w14:paraId="7CE71544" w14:textId="77777777" w:rsidR="00F17D10" w:rsidRPr="00E61425" w:rsidRDefault="00F17D10" w:rsidP="00AA2B14">
            <w:pPr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27D594" w14:textId="77777777" w:rsidR="00F17D10" w:rsidRPr="006F3C30" w:rsidRDefault="00F17D10" w:rsidP="00AA2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 que</w:t>
            </w:r>
            <w:r w:rsidRPr="00E1755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B395C9E" w14:textId="6B61052B" w:rsidR="00F17D10" w:rsidRPr="00241218" w:rsidRDefault="00F17D10" w:rsidP="00F1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1218">
              <w:rPr>
                <w:rFonts w:ascii="Times New Roman" w:hAnsi="Times New Roman" w:cs="Times New Roman"/>
                <w:sz w:val="24"/>
              </w:rPr>
              <w:t>(</w:t>
            </w:r>
            <w:r w:rsidR="007F151C">
              <w:rPr>
                <w:rFonts w:ascii="Times New Roman" w:hAnsi="Times New Roman" w:cs="Times New Roman"/>
                <w:sz w:val="24"/>
              </w:rPr>
              <w:t>5</w:t>
            </w:r>
            <w:r w:rsidRPr="002412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59CA9E62" w14:textId="19A9B8E3" w:rsidR="00F17D10" w:rsidRPr="00F66C18" w:rsidRDefault="00F17D10" w:rsidP="00F1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s-EC"/>
        </w:rPr>
      </w:pPr>
      <w:r w:rsidRPr="00F66C18">
        <w:rPr>
          <w:rFonts w:ascii="Times New Roman" w:hAnsi="Times New Roman" w:cs="Times New Roman"/>
          <w:sz w:val="24"/>
          <w:lang w:val="es-EC"/>
        </w:rPr>
        <w:t>PE = potencial energético (</w:t>
      </w:r>
      <w:r w:rsidR="00F74E1C" w:rsidRPr="00F66C18">
        <w:rPr>
          <w:rFonts w:ascii="Times New Roman" w:hAnsi="Times New Roman" w:cs="Times New Roman"/>
          <w:sz w:val="24"/>
          <w:lang w:val="es-EC"/>
        </w:rPr>
        <w:t>G</w:t>
      </w:r>
      <w:r w:rsidRPr="00F66C18">
        <w:rPr>
          <w:rFonts w:ascii="Times New Roman" w:hAnsi="Times New Roman" w:cs="Times New Roman"/>
          <w:sz w:val="24"/>
          <w:lang w:val="es-EC"/>
        </w:rPr>
        <w:t>J ha</w:t>
      </w:r>
      <w:r w:rsidRPr="00F66C18">
        <w:rPr>
          <w:rFonts w:ascii="Times New Roman" w:hAnsi="Times New Roman" w:cs="Times New Roman"/>
          <w:sz w:val="24"/>
          <w:vertAlign w:val="superscript"/>
          <w:lang w:val="es-EC"/>
        </w:rPr>
        <w:t>-1</w:t>
      </w:r>
      <w:r w:rsidRPr="00F66C18">
        <w:rPr>
          <w:rFonts w:ascii="Times New Roman" w:hAnsi="Times New Roman" w:cs="Times New Roman"/>
          <w:sz w:val="24"/>
          <w:lang w:val="es-EC"/>
        </w:rPr>
        <w:t>);</w:t>
      </w:r>
    </w:p>
    <w:p w14:paraId="4D2B082B" w14:textId="33731CAC" w:rsidR="00F17D10" w:rsidRPr="00F74E1C" w:rsidRDefault="00F17D10" w:rsidP="00F1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4E1C">
        <w:rPr>
          <w:rFonts w:ascii="Times New Roman" w:hAnsi="Times New Roman" w:cs="Times New Roman"/>
          <w:sz w:val="24"/>
        </w:rPr>
        <w:t>PCS = poder calorífico superior (</w:t>
      </w:r>
      <w:r>
        <w:rPr>
          <w:rFonts w:ascii="Times New Roman" w:hAnsi="Times New Roman" w:cs="Times New Roman"/>
          <w:sz w:val="24"/>
        </w:rPr>
        <w:t>MJ kg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 w:rsidRPr="00F74E1C">
        <w:rPr>
          <w:rFonts w:ascii="Times New Roman" w:hAnsi="Times New Roman" w:cs="Times New Roman"/>
          <w:sz w:val="24"/>
        </w:rPr>
        <w:t>);</w:t>
      </w:r>
    </w:p>
    <w:p w14:paraId="5A164DF5" w14:textId="064125AE" w:rsidR="00F17D10" w:rsidRPr="00A51F6E" w:rsidRDefault="00F821B1" w:rsidP="00F1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s</w:t>
      </w:r>
      <w:proofErr w:type="spellEnd"/>
      <w:r w:rsidR="00F17D10">
        <w:rPr>
          <w:rFonts w:ascii="Times New Roman" w:hAnsi="Times New Roman" w:cs="Times New Roman"/>
          <w:sz w:val="24"/>
        </w:rPr>
        <w:t xml:space="preserve"> = biomassa seca (</w:t>
      </w:r>
      <w:r>
        <w:rPr>
          <w:rFonts w:ascii="Times New Roman" w:hAnsi="Times New Roman" w:cs="Times New Roman"/>
          <w:sz w:val="24"/>
        </w:rPr>
        <w:t>kg</w:t>
      </w:r>
      <w:r w:rsidR="00F17D10">
        <w:rPr>
          <w:rFonts w:ascii="Times New Roman" w:hAnsi="Times New Roman" w:cs="Times New Roman"/>
          <w:sz w:val="24"/>
        </w:rPr>
        <w:t xml:space="preserve"> ha</w:t>
      </w:r>
      <w:r w:rsidR="00F17D10" w:rsidRPr="00A51F6E">
        <w:rPr>
          <w:rFonts w:ascii="Times New Roman" w:hAnsi="Times New Roman" w:cs="Times New Roman"/>
          <w:sz w:val="24"/>
          <w:vertAlign w:val="superscript"/>
        </w:rPr>
        <w:t>-1</w:t>
      </w:r>
      <w:r w:rsidR="00F17D10">
        <w:rPr>
          <w:rFonts w:ascii="Times New Roman" w:hAnsi="Times New Roman" w:cs="Times New Roman"/>
          <w:sz w:val="24"/>
        </w:rPr>
        <w:t>)</w:t>
      </w:r>
    </w:p>
    <w:p w14:paraId="209F99AE" w14:textId="77777777" w:rsidR="00375F79" w:rsidRDefault="00375F79" w:rsidP="0037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59C465B1" w14:textId="77777777" w:rsidR="00654DA9" w:rsidRDefault="00DC35B6" w:rsidP="00A574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35B6">
        <w:rPr>
          <w:rFonts w:ascii="Times New Roman" w:hAnsi="Times New Roman" w:cs="Times New Roman"/>
          <w:b/>
          <w:sz w:val="24"/>
        </w:rPr>
        <w:t>Resultados e Discussões</w:t>
      </w:r>
    </w:p>
    <w:p w14:paraId="3B2643AE" w14:textId="08ABFE79" w:rsidR="00C4125D" w:rsidRDefault="00C4125D" w:rsidP="00DC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diâmetro à altura do peito no plantio varia</w:t>
      </w:r>
      <w:r w:rsidR="00AD5CFE">
        <w:rPr>
          <w:rFonts w:ascii="Times New Roman" w:hAnsi="Times New Roman" w:cs="Times New Roman"/>
          <w:sz w:val="24"/>
        </w:rPr>
        <w:t xml:space="preserve"> de </w:t>
      </w:r>
      <w:r w:rsidR="005F49D8">
        <w:rPr>
          <w:rFonts w:ascii="Times New Roman" w:hAnsi="Times New Roman" w:cs="Times New Roman"/>
          <w:sz w:val="24"/>
        </w:rPr>
        <w:t xml:space="preserve">5,95 cm </w:t>
      </w:r>
      <w:r w:rsidR="00AD5CFE">
        <w:rPr>
          <w:rFonts w:ascii="Times New Roman" w:hAnsi="Times New Roman" w:cs="Times New Roman"/>
          <w:sz w:val="24"/>
        </w:rPr>
        <w:t>a</w:t>
      </w:r>
      <w:r w:rsidR="005F49D8">
        <w:rPr>
          <w:rFonts w:ascii="Times New Roman" w:hAnsi="Times New Roman" w:cs="Times New Roman"/>
          <w:sz w:val="24"/>
        </w:rPr>
        <w:t xml:space="preserve"> 30,1</w:t>
      </w:r>
      <w:r w:rsidR="007B577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cm, sendo a maior altura de 14,3 m e a menor de 8,9 m.</w:t>
      </w:r>
    </w:p>
    <w:p w14:paraId="55D5EB4D" w14:textId="015F0B1D" w:rsidR="007B5771" w:rsidRPr="00581F78" w:rsidRDefault="00C4125D" w:rsidP="00E96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Figura 1 apresenta a quantidade de árvores por hectare por classe </w:t>
      </w:r>
      <w:proofErr w:type="spellStart"/>
      <w:r>
        <w:rPr>
          <w:rFonts w:ascii="Times New Roman" w:hAnsi="Times New Roman" w:cs="Times New Roman"/>
          <w:sz w:val="24"/>
        </w:rPr>
        <w:t>diamétrica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noProof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21B1">
        <w:rPr>
          <w:noProof/>
          <w:lang w:eastAsia="pt-BR"/>
        </w:rPr>
        <w:drawing>
          <wp:inline distT="0" distB="0" distL="0" distR="0" wp14:anchorId="48499BD6" wp14:editId="2198D699">
            <wp:extent cx="2654935" cy="14287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CC2E3C" w14:textId="77777777" w:rsidR="00EE65A5" w:rsidRPr="00F66C18" w:rsidRDefault="00EE65A5" w:rsidP="00EE65A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66C18">
        <w:rPr>
          <w:rFonts w:ascii="Times New Roman" w:hAnsi="Times New Roman" w:cs="Times New Roman"/>
          <w:sz w:val="20"/>
        </w:rPr>
        <w:t xml:space="preserve">Figura 1. Distribuição diamétrica do plantio de </w:t>
      </w:r>
      <w:r w:rsidRPr="00F66C18">
        <w:rPr>
          <w:rFonts w:ascii="Times New Roman" w:hAnsi="Times New Roman" w:cs="Times New Roman"/>
          <w:i/>
          <w:sz w:val="20"/>
        </w:rPr>
        <w:t>Tectona grandis</w:t>
      </w:r>
      <w:r w:rsidRPr="00F66C18">
        <w:rPr>
          <w:rFonts w:ascii="Times New Roman" w:hAnsi="Times New Roman" w:cs="Times New Roman"/>
          <w:sz w:val="20"/>
        </w:rPr>
        <w:t>.</w:t>
      </w:r>
    </w:p>
    <w:p w14:paraId="7F2F7C9A" w14:textId="77777777" w:rsidR="00EE65A5" w:rsidRPr="00E963E5" w:rsidRDefault="00EE65A5" w:rsidP="007B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50F0E18" w14:textId="7B0309C7" w:rsidR="001E1061" w:rsidRDefault="00DE4DED" w:rsidP="007B5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</w:rPr>
        <w:t xml:space="preserve">A Tabela 1 sumariza as características </w:t>
      </w:r>
      <w:proofErr w:type="spellStart"/>
      <w:r w:rsidRPr="00DE4DED">
        <w:rPr>
          <w:rFonts w:ascii="Times New Roman" w:hAnsi="Times New Roman" w:cs="Times New Roman"/>
          <w:sz w:val="24"/>
        </w:rPr>
        <w:t>dendrométricas</w:t>
      </w:r>
      <w:proofErr w:type="spellEnd"/>
      <w:r w:rsidRPr="00DE4DED">
        <w:rPr>
          <w:rFonts w:ascii="Times New Roman" w:hAnsi="Times New Roman" w:cs="Times New Roman"/>
          <w:sz w:val="24"/>
        </w:rPr>
        <w:t xml:space="preserve"> calculadas para o plantio.</w:t>
      </w:r>
      <w:r w:rsidR="001E1061">
        <w:rPr>
          <w:rFonts w:ascii="Times New Roman" w:hAnsi="Times New Roman" w:cs="Times New Roman"/>
          <w:sz w:val="24"/>
        </w:rPr>
        <w:t xml:space="preserve"> Vale ressaltar que aos 25</w:t>
      </w:r>
      <w:r w:rsidR="0013244D">
        <w:rPr>
          <w:rFonts w:ascii="Times New Roman" w:hAnsi="Times New Roman" w:cs="Times New Roman"/>
          <w:sz w:val="24"/>
        </w:rPr>
        <w:t> </w:t>
      </w:r>
      <w:r w:rsidR="001E1061">
        <w:rPr>
          <w:rFonts w:ascii="Times New Roman" w:hAnsi="Times New Roman" w:cs="Times New Roman"/>
          <w:sz w:val="24"/>
        </w:rPr>
        <w:t xml:space="preserve">anos de cultivo, a </w:t>
      </w:r>
      <w:r w:rsidR="00E963E5">
        <w:rPr>
          <w:rFonts w:ascii="Times New Roman" w:hAnsi="Times New Roman" w:cs="Times New Roman"/>
          <w:sz w:val="24"/>
        </w:rPr>
        <w:t>t</w:t>
      </w:r>
      <w:r w:rsidR="001E1061">
        <w:rPr>
          <w:rFonts w:ascii="Times New Roman" w:hAnsi="Times New Roman" w:cs="Times New Roman"/>
          <w:sz w:val="24"/>
        </w:rPr>
        <w:t xml:space="preserve">eca </w:t>
      </w:r>
      <w:r w:rsidR="0013244D">
        <w:rPr>
          <w:rFonts w:ascii="Times New Roman" w:hAnsi="Times New Roman" w:cs="Times New Roman"/>
          <w:sz w:val="24"/>
        </w:rPr>
        <w:t>quando</w:t>
      </w:r>
      <w:r w:rsidR="001E1061">
        <w:rPr>
          <w:rFonts w:ascii="Times New Roman" w:hAnsi="Times New Roman" w:cs="Times New Roman"/>
          <w:sz w:val="24"/>
        </w:rPr>
        <w:t xml:space="preserve"> manejada, pode atingir um </w:t>
      </w:r>
      <w:r w:rsidR="0013244D">
        <w:rPr>
          <w:rFonts w:ascii="Times New Roman" w:hAnsi="Times New Roman" w:cs="Times New Roman"/>
          <w:sz w:val="24"/>
        </w:rPr>
        <w:t xml:space="preserve">DAP </w:t>
      </w:r>
      <w:r w:rsidR="001E1061">
        <w:rPr>
          <w:rFonts w:ascii="Times New Roman" w:hAnsi="Times New Roman" w:cs="Times New Roman"/>
          <w:sz w:val="24"/>
        </w:rPr>
        <w:t xml:space="preserve">médio de 50 </w:t>
      </w:r>
      <w:r w:rsidR="0013244D">
        <w:rPr>
          <w:rFonts w:ascii="Times New Roman" w:hAnsi="Times New Roman" w:cs="Times New Roman"/>
          <w:sz w:val="24"/>
        </w:rPr>
        <w:t xml:space="preserve">cm </w:t>
      </w:r>
      <w:r w:rsidR="001E1061">
        <w:rPr>
          <w:rFonts w:ascii="Times New Roman" w:hAnsi="Times New Roman" w:cs="Times New Roman"/>
          <w:sz w:val="24"/>
        </w:rPr>
        <w:t>ao final do ciclo (Cáceres Florestal, 2006). O diâmetro médio do plantio estudado</w:t>
      </w:r>
      <w:r w:rsidR="0013244D">
        <w:rPr>
          <w:rFonts w:ascii="Times New Roman" w:hAnsi="Times New Roman" w:cs="Times New Roman"/>
          <w:sz w:val="24"/>
        </w:rPr>
        <w:t xml:space="preserve"> foi</w:t>
      </w:r>
      <w:r w:rsidR="001E1061">
        <w:rPr>
          <w:rFonts w:ascii="Times New Roman" w:hAnsi="Times New Roman" w:cs="Times New Roman"/>
          <w:sz w:val="24"/>
        </w:rPr>
        <w:t xml:space="preserve"> de 15,54 cm, valor pouco expressivo em relação ao potencial de crescimento da espécie, resultado em função da inexistência de manejo na área experimental.   </w:t>
      </w:r>
    </w:p>
    <w:p w14:paraId="6D9C78BF" w14:textId="31895F3E" w:rsidR="00DE4DED" w:rsidRDefault="00DE4DED" w:rsidP="00DC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 fator de forma </w:t>
      </w:r>
      <w:r w:rsidR="00F70E4D">
        <w:rPr>
          <w:rFonts w:ascii="Times New Roman" w:hAnsi="Times New Roman" w:cs="Times New Roman"/>
          <w:sz w:val="24"/>
        </w:rPr>
        <w:t>calculado</w:t>
      </w:r>
      <w:r w:rsidR="001E1061">
        <w:rPr>
          <w:rFonts w:ascii="Times New Roman" w:hAnsi="Times New Roman" w:cs="Times New Roman"/>
          <w:sz w:val="24"/>
        </w:rPr>
        <w:t xml:space="preserve"> foi de 0,57, </w:t>
      </w:r>
      <w:r w:rsidR="00A1599A">
        <w:rPr>
          <w:rFonts w:ascii="Times New Roman" w:hAnsi="Times New Roman" w:cs="Times New Roman"/>
          <w:sz w:val="24"/>
        </w:rPr>
        <w:t xml:space="preserve">próximo </w:t>
      </w:r>
      <w:r w:rsidR="00F70E4D">
        <w:rPr>
          <w:rFonts w:ascii="Times New Roman" w:hAnsi="Times New Roman" w:cs="Times New Roman"/>
          <w:sz w:val="24"/>
        </w:rPr>
        <w:t>ao obtido</w:t>
      </w:r>
      <w:r>
        <w:rPr>
          <w:rFonts w:ascii="Times New Roman" w:hAnsi="Times New Roman" w:cs="Times New Roman"/>
          <w:sz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</w:rPr>
        <w:t>Tonini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C0292">
        <w:rPr>
          <w:rFonts w:ascii="Times New Roman" w:hAnsi="Times New Roman" w:cs="Times New Roman"/>
          <w:sz w:val="24"/>
        </w:rPr>
        <w:t>et al.</w:t>
      </w:r>
      <w:r w:rsidR="00A1599A">
        <w:rPr>
          <w:rFonts w:ascii="Times New Roman" w:hAnsi="Times New Roman" w:cs="Times New Roman"/>
          <w:sz w:val="24"/>
        </w:rPr>
        <w:t> (</w:t>
      </w:r>
      <w:r>
        <w:rPr>
          <w:rFonts w:ascii="Times New Roman" w:hAnsi="Times New Roman" w:cs="Times New Roman"/>
          <w:sz w:val="24"/>
        </w:rPr>
        <w:t>2009</w:t>
      </w:r>
      <w:r w:rsidR="00A1599A">
        <w:rPr>
          <w:rFonts w:ascii="Times New Roman" w:hAnsi="Times New Roman" w:cs="Times New Roman"/>
          <w:sz w:val="24"/>
        </w:rPr>
        <w:t>)</w:t>
      </w:r>
      <w:r w:rsidR="00F70E4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70E4D">
        <w:rPr>
          <w:rFonts w:ascii="Times New Roman" w:hAnsi="Times New Roman" w:cs="Times New Roman"/>
          <w:sz w:val="24"/>
        </w:rPr>
        <w:t>onde o fator de forma para esta espécie aos 6,5 anos de idade foi de</w:t>
      </w:r>
      <w:r>
        <w:rPr>
          <w:rFonts w:ascii="Times New Roman" w:hAnsi="Times New Roman" w:cs="Times New Roman"/>
          <w:sz w:val="24"/>
        </w:rPr>
        <w:t xml:space="preserve"> 0,56</w:t>
      </w:r>
      <w:r w:rsidR="0001560E">
        <w:rPr>
          <w:rFonts w:ascii="Times New Roman" w:hAnsi="Times New Roman" w:cs="Times New Roman"/>
          <w:sz w:val="24"/>
        </w:rPr>
        <w:t xml:space="preserve"> em </w:t>
      </w:r>
      <w:r w:rsidR="003F10B1">
        <w:rPr>
          <w:rFonts w:ascii="Times New Roman" w:hAnsi="Times New Roman" w:cs="Times New Roman"/>
          <w:sz w:val="24"/>
        </w:rPr>
        <w:t>árvores</w:t>
      </w:r>
      <w:r w:rsidR="0001560E">
        <w:rPr>
          <w:rFonts w:ascii="Times New Roman" w:hAnsi="Times New Roman" w:cs="Times New Roman"/>
          <w:sz w:val="24"/>
        </w:rPr>
        <w:t xml:space="preserve"> com casca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6D122E9" w14:textId="77777777" w:rsidR="00DE4DED" w:rsidRDefault="00DE4DED" w:rsidP="00654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EE5637B" w14:textId="3E9B1DA4" w:rsidR="00654DA9" w:rsidRPr="003E224F" w:rsidRDefault="00654DA9" w:rsidP="00E963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43ED">
        <w:rPr>
          <w:rFonts w:ascii="Times New Roman" w:hAnsi="Times New Roman" w:cs="Times New Roman"/>
          <w:sz w:val="24"/>
        </w:rPr>
        <w:t>Tabela 1.</w:t>
      </w:r>
      <w:r>
        <w:rPr>
          <w:rFonts w:ascii="Times New Roman" w:hAnsi="Times New Roman" w:cs="Times New Roman"/>
          <w:sz w:val="24"/>
        </w:rPr>
        <w:t xml:space="preserve"> As variáveis quantitativas do plantio de </w:t>
      </w:r>
      <w:proofErr w:type="spellStart"/>
      <w:r w:rsidRPr="003F18EB">
        <w:rPr>
          <w:rFonts w:ascii="Times New Roman" w:hAnsi="Times New Roman" w:cs="Times New Roman"/>
          <w:i/>
          <w:sz w:val="24"/>
        </w:rPr>
        <w:t>Tectona</w:t>
      </w:r>
      <w:proofErr w:type="spellEnd"/>
      <w:r w:rsidRPr="003F18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F18EB">
        <w:rPr>
          <w:rFonts w:ascii="Times New Roman" w:hAnsi="Times New Roman" w:cs="Times New Roman"/>
          <w:i/>
          <w:sz w:val="24"/>
        </w:rPr>
        <w:t>grandis</w:t>
      </w:r>
      <w:proofErr w:type="spellEnd"/>
      <w:r>
        <w:rPr>
          <w:rFonts w:ascii="Times New Roman" w:hAnsi="Times New Roman" w:cs="Times New Roman"/>
          <w:sz w:val="24"/>
        </w:rPr>
        <w:t>, Botucatu (SP).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756"/>
      </w:tblGrid>
      <w:tr w:rsidR="00654DA9" w14:paraId="42C49056" w14:textId="77777777" w:rsidTr="00A10C11">
        <w:trPr>
          <w:trHeight w:val="263"/>
        </w:trPr>
        <w:tc>
          <w:tcPr>
            <w:tcW w:w="4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63B7A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Características dendrométrias</w:t>
            </w:r>
          </w:p>
        </w:tc>
      </w:tr>
      <w:tr w:rsidR="00654DA9" w14:paraId="21EFA72C" w14:textId="77777777" w:rsidTr="00A10C11">
        <w:trPr>
          <w:trHeight w:val="251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4FE" w14:textId="77777777" w:rsidR="00654DA9" w:rsidRPr="001210DE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Indivíduos (árvores há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63E45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1.651</w:t>
            </w:r>
          </w:p>
        </w:tc>
      </w:tr>
      <w:tr w:rsidR="00654DA9" w14:paraId="335F438E" w14:textId="77777777" w:rsidTr="00A10C11">
        <w:trPr>
          <w:trHeight w:val="263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F1E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DAP médio (cm)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993FD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15,54</w:t>
            </w:r>
          </w:p>
        </w:tc>
      </w:tr>
      <w:tr w:rsidR="00654DA9" w14:paraId="5D122ACA" w14:textId="77777777" w:rsidTr="00A10C11">
        <w:trPr>
          <w:trHeight w:val="263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5B1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Dg (cm)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D1F9A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16,21</w:t>
            </w:r>
          </w:p>
        </w:tc>
      </w:tr>
      <w:tr w:rsidR="00654DA9" w14:paraId="7777274D" w14:textId="77777777" w:rsidTr="00A10C11">
        <w:trPr>
          <w:trHeight w:val="263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B0A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Altura dominante – HD (m)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72870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11,60</w:t>
            </w:r>
          </w:p>
        </w:tc>
      </w:tr>
      <w:tr w:rsidR="00654DA9" w14:paraId="1830EF64" w14:textId="77777777" w:rsidTr="00A10C11">
        <w:trPr>
          <w:trHeight w:val="263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B447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Fator de forma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FD2A5" w14:textId="77777777" w:rsidR="00654DA9" w:rsidRDefault="00654DA9" w:rsidP="00A10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0,57</w:t>
            </w:r>
          </w:p>
        </w:tc>
      </w:tr>
    </w:tbl>
    <w:p w14:paraId="285C9517" w14:textId="77777777" w:rsidR="00654DA9" w:rsidRPr="008D3819" w:rsidRDefault="00654DA9" w:rsidP="00C97B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19">
        <w:rPr>
          <w:rFonts w:ascii="Times New Roman" w:hAnsi="Times New Roman" w:cs="Times New Roman"/>
          <w:sz w:val="16"/>
          <w:szCs w:val="16"/>
        </w:rPr>
        <w:t>DAP: diâmetro à altura do peito (1,30 m do solo); Dg: diâmetro quadrático médio; Fator de forma: é uma medida adimensional.</w:t>
      </w:r>
    </w:p>
    <w:p w14:paraId="02D04AF5" w14:textId="77777777" w:rsidR="00AA60E7" w:rsidRDefault="00AA60E7" w:rsidP="00654D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843F1" w14:textId="318509DB" w:rsidR="00F70E4D" w:rsidRDefault="00F70E4D" w:rsidP="00F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as árvores </w:t>
      </w:r>
      <w:r w:rsidR="00B7424D">
        <w:rPr>
          <w:rFonts w:ascii="Times New Roman" w:hAnsi="Times New Roman" w:cs="Times New Roman"/>
          <w:sz w:val="24"/>
        </w:rPr>
        <w:t>do desbaste</w:t>
      </w:r>
      <w:r>
        <w:rPr>
          <w:rFonts w:ascii="Times New Roman" w:hAnsi="Times New Roman" w:cs="Times New Roman"/>
          <w:sz w:val="24"/>
        </w:rPr>
        <w:t xml:space="preserve">, </w:t>
      </w:r>
      <w:r w:rsidR="00AD1D47">
        <w:rPr>
          <w:rFonts w:ascii="Times New Roman" w:hAnsi="Times New Roman" w:cs="Times New Roman"/>
          <w:sz w:val="24"/>
        </w:rPr>
        <w:t xml:space="preserve">encontrou-se </w:t>
      </w:r>
      <w:r>
        <w:rPr>
          <w:rFonts w:ascii="Times New Roman" w:hAnsi="Times New Roman" w:cs="Times New Roman"/>
          <w:sz w:val="24"/>
        </w:rPr>
        <w:t>um diâmetro médio à altura do peito de 10,00</w:t>
      </w:r>
      <w:r w:rsidR="00AD1D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±1,72</w:t>
      </w:r>
      <w:r w:rsidR="00AD1D47"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</w:rPr>
        <w:t xml:space="preserve"> e altura média de 11,47</w:t>
      </w:r>
      <w:r w:rsidR="00AD1D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±1,60</w:t>
      </w:r>
      <w:r w:rsidR="00AD1D47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, com um total de</w:t>
      </w:r>
      <w:r w:rsidR="00AD1D47">
        <w:rPr>
          <w:rFonts w:ascii="Times New Roman" w:hAnsi="Times New Roman" w:cs="Times New Roman"/>
          <w:sz w:val="24"/>
        </w:rPr>
        <w:t xml:space="preserve"> indivíduos desbastados de</w:t>
      </w:r>
      <w:r>
        <w:rPr>
          <w:rFonts w:ascii="Times New Roman" w:hAnsi="Times New Roman" w:cs="Times New Roman"/>
          <w:sz w:val="24"/>
        </w:rPr>
        <w:t xml:space="preserve"> 349</w:t>
      </w:r>
      <w:r w:rsidR="00AD1D4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árvores ha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</w:t>
      </w:r>
    </w:p>
    <w:p w14:paraId="2E8957E8" w14:textId="12FD8552" w:rsidR="00F70E4D" w:rsidRDefault="00F70E4D" w:rsidP="00654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7CB3" w:rsidRPr="00A51F6E">
        <w:rPr>
          <w:rFonts w:ascii="Times New Roman" w:hAnsi="Times New Roman" w:cs="Times New Roman"/>
          <w:sz w:val="24"/>
        </w:rPr>
        <w:t xml:space="preserve">Em </w:t>
      </w:r>
      <w:r w:rsidR="00A87CB3">
        <w:rPr>
          <w:rFonts w:ascii="Times New Roman" w:hAnsi="Times New Roman" w:cs="Times New Roman"/>
        </w:rPr>
        <w:t>relação a</w:t>
      </w:r>
      <w:r w:rsidRPr="00F70E4D">
        <w:rPr>
          <w:rFonts w:ascii="Times New Roman" w:hAnsi="Times New Roman" w:cs="Times New Roman"/>
          <w:sz w:val="24"/>
          <w:szCs w:val="24"/>
        </w:rPr>
        <w:t xml:space="preserve"> </w:t>
      </w:r>
      <w:r w:rsidR="00DA03BD">
        <w:rPr>
          <w:rFonts w:ascii="Times New Roman" w:hAnsi="Times New Roman" w:cs="Times New Roman"/>
          <w:sz w:val="24"/>
          <w:szCs w:val="24"/>
        </w:rPr>
        <w:t>densidade básica</w:t>
      </w:r>
      <w:r w:rsidR="00A87CB3">
        <w:rPr>
          <w:rFonts w:ascii="Times New Roman" w:hAnsi="Times New Roman" w:cs="Times New Roman"/>
          <w:sz w:val="24"/>
          <w:szCs w:val="24"/>
        </w:rPr>
        <w:t xml:space="preserve"> da madeira, a</w:t>
      </w:r>
      <w:r w:rsidR="00B40706">
        <w:rPr>
          <w:rFonts w:ascii="Times New Roman" w:hAnsi="Times New Roman" w:cs="Times New Roman"/>
          <w:sz w:val="24"/>
          <w:szCs w:val="24"/>
        </w:rPr>
        <w:t xml:space="preserve"> </w:t>
      </w:r>
      <w:r w:rsidR="00DA03BD">
        <w:rPr>
          <w:rFonts w:ascii="Times New Roman" w:hAnsi="Times New Roman" w:cs="Times New Roman"/>
          <w:sz w:val="24"/>
          <w:szCs w:val="24"/>
        </w:rPr>
        <w:t>média foi de 453</w:t>
      </w:r>
      <w:r w:rsidR="00222777">
        <w:rPr>
          <w:rFonts w:ascii="Times New Roman" w:hAnsi="Times New Roman" w:cs="Times New Roman"/>
          <w:sz w:val="24"/>
          <w:szCs w:val="24"/>
        </w:rPr>
        <w:t xml:space="preserve"> (</w:t>
      </w:r>
      <w:r w:rsidR="00222777">
        <w:rPr>
          <w:rFonts w:ascii="Times New Roman" w:hAnsi="Times New Roman" w:cs="Times New Roman"/>
          <w:sz w:val="24"/>
        </w:rPr>
        <w:t>±</w:t>
      </w:r>
      <w:r w:rsidR="00134551">
        <w:rPr>
          <w:rFonts w:ascii="Times New Roman" w:hAnsi="Times New Roman" w:cs="Times New Roman"/>
          <w:sz w:val="24"/>
        </w:rPr>
        <w:t xml:space="preserve"> </w:t>
      </w:r>
      <w:r w:rsidR="00222777">
        <w:rPr>
          <w:rFonts w:ascii="Times New Roman" w:hAnsi="Times New Roman" w:cs="Times New Roman"/>
          <w:sz w:val="24"/>
        </w:rPr>
        <w:t>69)</w:t>
      </w:r>
      <w:r w:rsidR="00A87CB3">
        <w:rPr>
          <w:rFonts w:ascii="Times New Roman" w:hAnsi="Times New Roman" w:cs="Times New Roman"/>
          <w:sz w:val="24"/>
          <w:szCs w:val="24"/>
        </w:rPr>
        <w:t> </w:t>
      </w:r>
      <w:r w:rsidR="00134551">
        <w:rPr>
          <w:rFonts w:ascii="Times New Roman" w:hAnsi="Times New Roman" w:cs="Times New Roman"/>
          <w:sz w:val="24"/>
          <w:szCs w:val="24"/>
        </w:rPr>
        <w:t>k</w:t>
      </w:r>
      <w:r w:rsidR="00DA03BD">
        <w:rPr>
          <w:rFonts w:ascii="Times New Roman" w:hAnsi="Times New Roman" w:cs="Times New Roman"/>
          <w:sz w:val="24"/>
          <w:szCs w:val="24"/>
        </w:rPr>
        <w:t>g</w:t>
      </w:r>
      <w:r w:rsidR="00134551">
        <w:rPr>
          <w:rFonts w:ascii="Times New Roman" w:hAnsi="Times New Roman" w:cs="Times New Roman"/>
          <w:sz w:val="24"/>
          <w:szCs w:val="24"/>
        </w:rPr>
        <w:t xml:space="preserve"> </w:t>
      </w:r>
      <w:r w:rsidR="00DA03BD">
        <w:rPr>
          <w:rFonts w:ascii="Times New Roman" w:hAnsi="Times New Roman" w:cs="Times New Roman"/>
          <w:sz w:val="24"/>
          <w:szCs w:val="24"/>
        </w:rPr>
        <w:t>m</w:t>
      </w:r>
      <w:r w:rsidR="00DA03B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40706">
        <w:rPr>
          <w:rFonts w:ascii="Times New Roman" w:hAnsi="Times New Roman" w:cs="Times New Roman"/>
          <w:sz w:val="24"/>
          <w:szCs w:val="24"/>
        </w:rPr>
        <w:t xml:space="preserve">, este valor </w:t>
      </w:r>
      <w:r w:rsidR="00DA03BD">
        <w:rPr>
          <w:rFonts w:ascii="Times New Roman" w:hAnsi="Times New Roman" w:cs="Times New Roman"/>
          <w:sz w:val="24"/>
          <w:szCs w:val="24"/>
        </w:rPr>
        <w:t xml:space="preserve">é inferior ao valor de </w:t>
      </w:r>
      <w:r w:rsidR="00B40706">
        <w:rPr>
          <w:rFonts w:ascii="Times New Roman" w:hAnsi="Times New Roman" w:cs="Times New Roman"/>
          <w:sz w:val="24"/>
          <w:szCs w:val="24"/>
        </w:rPr>
        <w:t>650 kg m</w:t>
      </w:r>
      <w:r w:rsidR="00B40706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="00222777">
        <w:rPr>
          <w:rFonts w:ascii="Times New Roman" w:hAnsi="Times New Roman" w:cs="Times New Roman"/>
          <w:sz w:val="24"/>
          <w:szCs w:val="24"/>
        </w:rPr>
        <w:t>obtido</w:t>
      </w:r>
      <w:r w:rsidR="00591854">
        <w:rPr>
          <w:rFonts w:ascii="Times New Roman" w:hAnsi="Times New Roman" w:cs="Times New Roman"/>
          <w:sz w:val="24"/>
          <w:szCs w:val="24"/>
        </w:rPr>
        <w:t>s</w:t>
      </w:r>
      <w:r w:rsidR="00DA03BD">
        <w:rPr>
          <w:rFonts w:ascii="Times New Roman" w:hAnsi="Times New Roman" w:cs="Times New Roman"/>
          <w:sz w:val="24"/>
          <w:szCs w:val="24"/>
        </w:rPr>
        <w:t xml:space="preserve"> por </w:t>
      </w:r>
      <w:r w:rsidR="00222777">
        <w:rPr>
          <w:rFonts w:ascii="Times New Roman" w:hAnsi="Times New Roman" w:cs="Times New Roman"/>
          <w:sz w:val="24"/>
          <w:szCs w:val="24"/>
        </w:rPr>
        <w:t xml:space="preserve">Ohana </w:t>
      </w:r>
      <w:r w:rsidR="00A30E38">
        <w:rPr>
          <w:rFonts w:ascii="Times New Roman" w:hAnsi="Times New Roman" w:cs="Times New Roman"/>
          <w:sz w:val="24"/>
          <w:szCs w:val="24"/>
        </w:rPr>
        <w:t>(</w:t>
      </w:r>
      <w:r w:rsidR="00222777">
        <w:rPr>
          <w:rFonts w:ascii="Times New Roman" w:hAnsi="Times New Roman" w:cs="Times New Roman"/>
          <w:sz w:val="24"/>
          <w:szCs w:val="24"/>
        </w:rPr>
        <w:t>2012</w:t>
      </w:r>
      <w:r w:rsidR="00A30E38">
        <w:rPr>
          <w:rFonts w:ascii="Times New Roman" w:hAnsi="Times New Roman" w:cs="Times New Roman"/>
          <w:sz w:val="24"/>
          <w:szCs w:val="24"/>
        </w:rPr>
        <w:t>)</w:t>
      </w:r>
      <w:r w:rsidR="0022277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03BD">
        <w:rPr>
          <w:rFonts w:ascii="Times New Roman" w:hAnsi="Times New Roman" w:cs="Times New Roman"/>
          <w:sz w:val="24"/>
          <w:szCs w:val="24"/>
        </w:rPr>
        <w:t>Pelissari</w:t>
      </w:r>
      <w:proofErr w:type="spellEnd"/>
      <w:r w:rsidR="00DA03BD">
        <w:rPr>
          <w:rFonts w:ascii="Times New Roman" w:hAnsi="Times New Roman" w:cs="Times New Roman"/>
          <w:sz w:val="24"/>
          <w:szCs w:val="24"/>
        </w:rPr>
        <w:t xml:space="preserve"> et al. </w:t>
      </w:r>
      <w:r w:rsidR="00A30E38">
        <w:rPr>
          <w:rFonts w:ascii="Times New Roman" w:hAnsi="Times New Roman" w:cs="Times New Roman"/>
          <w:sz w:val="24"/>
          <w:szCs w:val="24"/>
        </w:rPr>
        <w:t>(</w:t>
      </w:r>
      <w:r w:rsidR="00DA03BD">
        <w:rPr>
          <w:rFonts w:ascii="Times New Roman" w:hAnsi="Times New Roman" w:cs="Times New Roman"/>
          <w:sz w:val="24"/>
          <w:szCs w:val="24"/>
        </w:rPr>
        <w:t>2014</w:t>
      </w:r>
      <w:r w:rsidR="00A30E38">
        <w:rPr>
          <w:rFonts w:ascii="Times New Roman" w:hAnsi="Times New Roman" w:cs="Times New Roman"/>
          <w:sz w:val="24"/>
          <w:szCs w:val="24"/>
        </w:rPr>
        <w:t>)</w:t>
      </w:r>
      <w:r w:rsidR="00DA03BD">
        <w:rPr>
          <w:rFonts w:ascii="Times New Roman" w:hAnsi="Times New Roman" w:cs="Times New Roman"/>
          <w:sz w:val="24"/>
          <w:szCs w:val="24"/>
        </w:rPr>
        <w:t>.</w:t>
      </w:r>
      <w:r w:rsidR="00222777">
        <w:rPr>
          <w:rFonts w:ascii="Times New Roman" w:hAnsi="Times New Roman" w:cs="Times New Roman"/>
          <w:sz w:val="24"/>
          <w:szCs w:val="24"/>
        </w:rPr>
        <w:t xml:space="preserve"> </w:t>
      </w:r>
      <w:r w:rsidR="00591854">
        <w:rPr>
          <w:rFonts w:ascii="Times New Roman" w:hAnsi="Times New Roman" w:cs="Times New Roman"/>
          <w:sz w:val="24"/>
          <w:szCs w:val="24"/>
        </w:rPr>
        <w:t xml:space="preserve">Sabe-se </w:t>
      </w:r>
      <w:r w:rsidR="00116EC4">
        <w:rPr>
          <w:rFonts w:ascii="Times New Roman" w:hAnsi="Times New Roman" w:cs="Times New Roman"/>
          <w:sz w:val="24"/>
          <w:szCs w:val="24"/>
        </w:rPr>
        <w:t>que a densidade básica varia em função do ambiente</w:t>
      </w:r>
      <w:r w:rsidR="00591854">
        <w:rPr>
          <w:rFonts w:ascii="Times New Roman" w:hAnsi="Times New Roman" w:cs="Times New Roman"/>
          <w:sz w:val="24"/>
          <w:szCs w:val="24"/>
        </w:rPr>
        <w:t xml:space="preserve">, </w:t>
      </w:r>
      <w:r w:rsidR="00116EC4">
        <w:rPr>
          <w:rFonts w:ascii="Times New Roman" w:hAnsi="Times New Roman" w:cs="Times New Roman"/>
          <w:sz w:val="24"/>
          <w:szCs w:val="24"/>
        </w:rPr>
        <w:t>genótipo, espaçamento e manejo</w:t>
      </w:r>
      <w:r w:rsidR="00591854">
        <w:rPr>
          <w:rFonts w:ascii="Times New Roman" w:hAnsi="Times New Roman" w:cs="Times New Roman"/>
          <w:sz w:val="24"/>
          <w:szCs w:val="24"/>
        </w:rPr>
        <w:t xml:space="preserve"> adotado </w:t>
      </w:r>
      <w:r w:rsidR="00116EC4">
        <w:rPr>
          <w:rFonts w:ascii="Times New Roman" w:hAnsi="Times New Roman" w:cs="Times New Roman"/>
          <w:sz w:val="24"/>
          <w:szCs w:val="24"/>
        </w:rPr>
        <w:t xml:space="preserve">(EMBRAPA, 2017). </w:t>
      </w:r>
      <w:r w:rsidR="00DA0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3733" w14:textId="52320902" w:rsidR="00F462F0" w:rsidRDefault="00591854" w:rsidP="00A8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 w:rsidR="00C4125D">
        <w:rPr>
          <w:rFonts w:ascii="Times New Roman" w:hAnsi="Times New Roman" w:cs="Times New Roman"/>
          <w:sz w:val="24"/>
        </w:rPr>
        <w:t>Tabela 2</w:t>
      </w:r>
      <w:r w:rsidR="00A87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está reportado</w:t>
      </w:r>
      <w:r w:rsidR="00F462F0">
        <w:rPr>
          <w:rFonts w:ascii="Times New Roman" w:hAnsi="Times New Roman" w:cs="Times New Roman"/>
          <w:sz w:val="24"/>
        </w:rPr>
        <w:t xml:space="preserve"> o volume a biomassa de tronco das árvores provenientes de um desbaste por baixo. O peso do desbaste </w:t>
      </w:r>
      <w:r>
        <w:rPr>
          <w:rFonts w:ascii="Times New Roman" w:hAnsi="Times New Roman" w:cs="Times New Roman"/>
          <w:sz w:val="24"/>
        </w:rPr>
        <w:t xml:space="preserve">foi </w:t>
      </w:r>
      <w:r w:rsidR="00F462F0">
        <w:rPr>
          <w:rFonts w:ascii="Times New Roman" w:hAnsi="Times New Roman" w:cs="Times New Roman"/>
          <w:sz w:val="24"/>
        </w:rPr>
        <w:t xml:space="preserve">de 21%. </w:t>
      </w:r>
    </w:p>
    <w:p w14:paraId="64989A42" w14:textId="77777777" w:rsidR="00A21825" w:rsidRDefault="00A21825" w:rsidP="0019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107D3AE" w14:textId="7F6D7A41" w:rsidR="00BF3D5A" w:rsidRPr="00712AA8" w:rsidRDefault="00C4125D" w:rsidP="00712A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Tabela 2</w:t>
      </w:r>
      <w:r w:rsidR="00196AAE" w:rsidRPr="00F243ED">
        <w:rPr>
          <w:rFonts w:ascii="Times New Roman" w:hAnsi="Times New Roman" w:cs="Times New Roman"/>
          <w:sz w:val="24"/>
        </w:rPr>
        <w:t>.</w:t>
      </w:r>
      <w:r w:rsidR="00196AAE">
        <w:rPr>
          <w:rFonts w:ascii="Times New Roman" w:hAnsi="Times New Roman" w:cs="Times New Roman"/>
          <w:sz w:val="24"/>
        </w:rPr>
        <w:t xml:space="preserve"> </w:t>
      </w:r>
      <w:r w:rsidR="001A7B7B">
        <w:rPr>
          <w:rFonts w:ascii="Times New Roman" w:hAnsi="Times New Roman" w:cs="Times New Roman"/>
          <w:sz w:val="24"/>
        </w:rPr>
        <w:t>Volume e</w:t>
      </w:r>
      <w:r w:rsidR="00BF6A24">
        <w:rPr>
          <w:rFonts w:ascii="Times New Roman" w:hAnsi="Times New Roman" w:cs="Times New Roman"/>
          <w:sz w:val="24"/>
        </w:rPr>
        <w:t xml:space="preserve"> biomassa seca das árvores</w:t>
      </w:r>
      <w:r w:rsidR="00BF3D5A">
        <w:rPr>
          <w:rFonts w:ascii="Times New Roman" w:hAnsi="Times New Roman" w:cs="Times New Roman"/>
          <w:sz w:val="24"/>
        </w:rPr>
        <w:t xml:space="preserve"> </w:t>
      </w:r>
      <w:r w:rsidR="00B7424D">
        <w:rPr>
          <w:rFonts w:ascii="Times New Roman" w:hAnsi="Times New Roman" w:cs="Times New Roman"/>
          <w:sz w:val="24"/>
        </w:rPr>
        <w:t>na simulação de desbaste</w:t>
      </w:r>
      <w:r w:rsidR="00BF6A24">
        <w:rPr>
          <w:rFonts w:ascii="Times New Roman" w:hAnsi="Times New Roman" w:cs="Times New Roman"/>
          <w:sz w:val="24"/>
        </w:rPr>
        <w:t xml:space="preserve"> no plantio de </w:t>
      </w:r>
      <w:proofErr w:type="spellStart"/>
      <w:r w:rsidR="00BF6A24" w:rsidRPr="003F18EB">
        <w:rPr>
          <w:rFonts w:ascii="Times New Roman" w:hAnsi="Times New Roman" w:cs="Times New Roman"/>
          <w:i/>
          <w:sz w:val="24"/>
        </w:rPr>
        <w:t>Tectona</w:t>
      </w:r>
      <w:proofErr w:type="spellEnd"/>
      <w:r w:rsidR="00BF6A24" w:rsidRPr="003F18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F6A24" w:rsidRPr="003F18EB">
        <w:rPr>
          <w:rFonts w:ascii="Times New Roman" w:hAnsi="Times New Roman" w:cs="Times New Roman"/>
          <w:i/>
          <w:sz w:val="24"/>
        </w:rPr>
        <w:t>grandis</w:t>
      </w:r>
      <w:proofErr w:type="spellEnd"/>
      <w:r w:rsidR="00BF6A24">
        <w:rPr>
          <w:rFonts w:ascii="Times New Roman" w:hAnsi="Times New Roman" w:cs="Times New Roman"/>
          <w:i/>
          <w:sz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8"/>
      </w:tblGrid>
      <w:tr w:rsidR="00B633CA" w14:paraId="7AE614F4" w14:textId="77777777" w:rsidTr="00B633CA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9374" w14:textId="77777777" w:rsidR="00B633CA" w:rsidRPr="00B633CA" w:rsidRDefault="00B633CA" w:rsidP="001A7B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Vol. de madeira</w:t>
            </w:r>
            <w:r w:rsidR="001A7B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(m³ ha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896E" w14:textId="77777777" w:rsidR="00B633CA" w:rsidRDefault="00B633CA" w:rsidP="00B63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18,523</w:t>
            </w:r>
          </w:p>
        </w:tc>
      </w:tr>
      <w:tr w:rsidR="00B633CA" w14:paraId="335279CA" w14:textId="77777777" w:rsidTr="00B633CA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63B" w14:textId="77777777" w:rsidR="00B633CA" w:rsidRPr="00B633CA" w:rsidRDefault="00B633CA" w:rsidP="00B63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Biomassa seca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7AD5D" w14:textId="77777777" w:rsidR="00B633CA" w:rsidRDefault="00B633CA" w:rsidP="00B63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8,39</w:t>
            </w:r>
          </w:p>
        </w:tc>
      </w:tr>
    </w:tbl>
    <w:p w14:paraId="7E170C47" w14:textId="77777777" w:rsidR="00A21825" w:rsidRDefault="00A21825" w:rsidP="00B83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3EEE16" w14:textId="53DA809B" w:rsidR="008155CC" w:rsidRDefault="00012934" w:rsidP="00C9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acordo com Vital et al. 2010</w:t>
      </w:r>
      <w:r w:rsidR="00B929D2">
        <w:rPr>
          <w:rFonts w:ascii="Times New Roman" w:hAnsi="Times New Roman" w:cs="Times New Roman"/>
          <w:sz w:val="24"/>
        </w:rPr>
        <w:t xml:space="preserve"> a </w:t>
      </w:r>
      <w:r w:rsidR="00B929D2" w:rsidRPr="003F18EB">
        <w:rPr>
          <w:rFonts w:ascii="Times New Roman" w:hAnsi="Times New Roman" w:cs="Times New Roman"/>
          <w:i/>
          <w:sz w:val="24"/>
        </w:rPr>
        <w:t>Tectona grandis</w:t>
      </w:r>
      <w:r w:rsidR="00B929D2">
        <w:rPr>
          <w:rFonts w:ascii="Times New Roman" w:hAnsi="Times New Roman" w:cs="Times New Roman"/>
          <w:sz w:val="24"/>
        </w:rPr>
        <w:t xml:space="preserve"> possui um poder calorífico superior médio de </w:t>
      </w:r>
      <w:r w:rsidR="00A521A1">
        <w:rPr>
          <w:rFonts w:ascii="Times New Roman" w:hAnsi="Times New Roman" w:cs="Times New Roman"/>
          <w:sz w:val="24"/>
        </w:rPr>
        <w:t>19,91</w:t>
      </w:r>
      <w:r w:rsidR="00B929D2">
        <w:rPr>
          <w:rFonts w:ascii="Times New Roman" w:hAnsi="Times New Roman" w:cs="Times New Roman"/>
          <w:sz w:val="24"/>
        </w:rPr>
        <w:t xml:space="preserve"> </w:t>
      </w:r>
      <w:r w:rsidR="00A521A1">
        <w:rPr>
          <w:rFonts w:ascii="Times New Roman" w:hAnsi="Times New Roman" w:cs="Times New Roman"/>
          <w:sz w:val="24"/>
        </w:rPr>
        <w:t xml:space="preserve">MJ </w:t>
      </w:r>
      <w:r w:rsidR="00B929D2">
        <w:rPr>
          <w:rFonts w:ascii="Times New Roman" w:hAnsi="Times New Roman" w:cs="Times New Roman"/>
          <w:sz w:val="24"/>
        </w:rPr>
        <w:t>kg</w:t>
      </w:r>
      <w:r w:rsidR="00B929D2">
        <w:rPr>
          <w:rFonts w:ascii="Times New Roman" w:hAnsi="Times New Roman" w:cs="Times New Roman"/>
          <w:sz w:val="24"/>
          <w:vertAlign w:val="superscript"/>
        </w:rPr>
        <w:t>-1</w:t>
      </w:r>
      <w:r w:rsidR="00B929D2">
        <w:rPr>
          <w:rFonts w:ascii="Times New Roman" w:hAnsi="Times New Roman" w:cs="Times New Roman"/>
          <w:sz w:val="24"/>
        </w:rPr>
        <w:t xml:space="preserve">. Este valor é corroborado por </w:t>
      </w:r>
      <w:proofErr w:type="spellStart"/>
      <w:r w:rsidR="00B929D2">
        <w:rPr>
          <w:rFonts w:ascii="Times New Roman" w:hAnsi="Times New Roman" w:cs="Times New Roman"/>
          <w:sz w:val="24"/>
        </w:rPr>
        <w:t>Flórez</w:t>
      </w:r>
      <w:proofErr w:type="spellEnd"/>
      <w:r w:rsidR="00B929D2">
        <w:rPr>
          <w:rFonts w:ascii="Times New Roman" w:hAnsi="Times New Roman" w:cs="Times New Roman"/>
          <w:sz w:val="24"/>
        </w:rPr>
        <w:t xml:space="preserve"> (2012) que pesquisando sobre essa espécie obteve um PCS médio de </w:t>
      </w:r>
      <w:r w:rsidR="007858B8">
        <w:rPr>
          <w:rFonts w:ascii="Times New Roman" w:hAnsi="Times New Roman" w:cs="Times New Roman"/>
          <w:sz w:val="24"/>
        </w:rPr>
        <w:t>19,95</w:t>
      </w:r>
      <w:r w:rsidR="00B929D2">
        <w:rPr>
          <w:rFonts w:ascii="Times New Roman" w:hAnsi="Times New Roman" w:cs="Times New Roman"/>
          <w:sz w:val="24"/>
        </w:rPr>
        <w:t xml:space="preserve"> </w:t>
      </w:r>
      <w:r w:rsidR="007858B8">
        <w:rPr>
          <w:rFonts w:ascii="Times New Roman" w:hAnsi="Times New Roman" w:cs="Times New Roman"/>
          <w:sz w:val="24"/>
        </w:rPr>
        <w:t>MJ</w:t>
      </w:r>
      <w:r w:rsidR="00B929D2">
        <w:rPr>
          <w:rFonts w:ascii="Times New Roman" w:hAnsi="Times New Roman" w:cs="Times New Roman"/>
          <w:sz w:val="24"/>
        </w:rPr>
        <w:t xml:space="preserve"> kg</w:t>
      </w:r>
      <w:r w:rsidR="00B929D2">
        <w:rPr>
          <w:rFonts w:ascii="Times New Roman" w:hAnsi="Times New Roman" w:cs="Times New Roman"/>
          <w:sz w:val="24"/>
          <w:vertAlign w:val="superscript"/>
        </w:rPr>
        <w:t>-1</w:t>
      </w:r>
      <w:r w:rsidR="00B929D2">
        <w:rPr>
          <w:rFonts w:ascii="Times New Roman" w:hAnsi="Times New Roman" w:cs="Times New Roman"/>
          <w:sz w:val="24"/>
        </w:rPr>
        <w:t>, que concluiu que a espécie apresenta boas características para geração de energia</w:t>
      </w:r>
      <w:r w:rsidR="00CD6E7B">
        <w:rPr>
          <w:rFonts w:ascii="Times New Roman" w:hAnsi="Times New Roman" w:cs="Times New Roman"/>
          <w:sz w:val="24"/>
        </w:rPr>
        <w:t xml:space="preserve">. </w:t>
      </w:r>
      <w:r w:rsidR="00B929D2">
        <w:rPr>
          <w:rFonts w:ascii="Times New Roman" w:hAnsi="Times New Roman" w:cs="Times New Roman"/>
          <w:sz w:val="24"/>
        </w:rPr>
        <w:t xml:space="preserve">Ohana </w:t>
      </w:r>
      <w:r w:rsidR="00CD6E7B">
        <w:rPr>
          <w:rFonts w:ascii="Times New Roman" w:hAnsi="Times New Roman" w:cs="Times New Roman"/>
          <w:sz w:val="24"/>
        </w:rPr>
        <w:t>(</w:t>
      </w:r>
      <w:r w:rsidR="00B929D2">
        <w:rPr>
          <w:rFonts w:ascii="Times New Roman" w:hAnsi="Times New Roman" w:cs="Times New Roman"/>
          <w:sz w:val="24"/>
        </w:rPr>
        <w:t>2012</w:t>
      </w:r>
      <w:r w:rsidR="00CD6E7B">
        <w:rPr>
          <w:rFonts w:ascii="Times New Roman" w:hAnsi="Times New Roman" w:cs="Times New Roman"/>
          <w:sz w:val="24"/>
        </w:rPr>
        <w:t xml:space="preserve">) salienta ainda </w:t>
      </w:r>
      <w:r w:rsidR="00A87CB3">
        <w:rPr>
          <w:rFonts w:ascii="Times New Roman" w:hAnsi="Times New Roman" w:cs="Times New Roman"/>
          <w:sz w:val="24"/>
        </w:rPr>
        <w:t>que as</w:t>
      </w:r>
      <w:r w:rsidR="00B929D2">
        <w:rPr>
          <w:rFonts w:ascii="Times New Roman" w:hAnsi="Times New Roman" w:cs="Times New Roman"/>
          <w:sz w:val="24"/>
        </w:rPr>
        <w:t xml:space="preserve"> espécies comumente utilizadas para fins energéticos possuem valores de poder calorífico superior próximo aos apresentados. </w:t>
      </w:r>
    </w:p>
    <w:p w14:paraId="6A40AA37" w14:textId="36EB690A" w:rsidR="00A57447" w:rsidRDefault="00A57447" w:rsidP="00A5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Após a realização do desbaste a biomassa seca de tronco remanescente no plantio seria de 93,96 t ha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, produção superior ao obtido em estudo realizado por </w:t>
      </w:r>
      <w:proofErr w:type="spellStart"/>
      <w:r>
        <w:rPr>
          <w:rFonts w:ascii="Times New Roman" w:hAnsi="Times New Roman" w:cs="Times New Roman"/>
          <w:sz w:val="24"/>
        </w:rPr>
        <w:t>Rondom</w:t>
      </w:r>
      <w:proofErr w:type="spellEnd"/>
      <w:r>
        <w:rPr>
          <w:rFonts w:ascii="Times New Roman" w:hAnsi="Times New Roman" w:cs="Times New Roman"/>
          <w:sz w:val="24"/>
        </w:rPr>
        <w:t> </w:t>
      </w:r>
      <w:r w:rsidR="00CD6E7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2006</w:t>
      </w:r>
      <w:r w:rsidR="00CD6E7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em um plantio localizado no estado de Mato Grosso aos 6,3 anos de idade, disposto em um espaçamento de </w:t>
      </w:r>
      <w:r>
        <w:rPr>
          <w:rFonts w:ascii="Times New Roman" w:hAnsi="Times New Roman" w:cs="Times New Roman"/>
          <w:sz w:val="24"/>
        </w:rPr>
        <w:lastRenderedPageBreak/>
        <w:t>3 m </w:t>
      </w:r>
      <w:r w:rsidR="00712AA8"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4"/>
        </w:rPr>
        <w:t xml:space="preserve"> 2 m, no qual calculou uma produção de 41,38 t ha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</w:t>
      </w:r>
    </w:p>
    <w:p w14:paraId="4DCEF338" w14:textId="38DF564A" w:rsidR="00F243ED" w:rsidRDefault="00F74E1C" w:rsidP="006B6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Considerando o poder calorífico superior médio </w:t>
      </w:r>
      <w:r w:rsidR="006B6A2D">
        <w:rPr>
          <w:rFonts w:ascii="Times New Roman" w:hAnsi="Times New Roman" w:cs="Times New Roman"/>
          <w:sz w:val="24"/>
        </w:rPr>
        <w:t>de 19,95 MJ kg</w:t>
      </w:r>
      <w:r w:rsidR="006B6A2D">
        <w:rPr>
          <w:rFonts w:ascii="Times New Roman" w:hAnsi="Times New Roman" w:cs="Times New Roman"/>
          <w:sz w:val="24"/>
          <w:vertAlign w:val="superscript"/>
        </w:rPr>
        <w:t>-</w:t>
      </w:r>
      <w:r w:rsidR="006B6A2D" w:rsidRPr="006B6A2D">
        <w:rPr>
          <w:rFonts w:ascii="Times New Roman" w:hAnsi="Times New Roman" w:cs="Times New Roman"/>
          <w:sz w:val="24"/>
        </w:rPr>
        <w:t>1</w:t>
      </w:r>
      <w:r w:rsidR="006B6A2D">
        <w:rPr>
          <w:rFonts w:ascii="Times New Roman" w:hAnsi="Times New Roman" w:cs="Times New Roman"/>
          <w:sz w:val="24"/>
        </w:rPr>
        <w:t xml:space="preserve">, mesmo </w:t>
      </w:r>
      <w:r w:rsidRPr="006B6A2D">
        <w:rPr>
          <w:rFonts w:ascii="Times New Roman" w:hAnsi="Times New Roman" w:cs="Times New Roman"/>
          <w:sz w:val="24"/>
        </w:rPr>
        <w:t>utilizado</w:t>
      </w:r>
      <w:r>
        <w:rPr>
          <w:rFonts w:ascii="Times New Roman" w:hAnsi="Times New Roman" w:cs="Times New Roman"/>
          <w:sz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</w:rPr>
        <w:t>Flórez</w:t>
      </w:r>
      <w:proofErr w:type="spellEnd"/>
      <w:r>
        <w:rPr>
          <w:rFonts w:ascii="Times New Roman" w:hAnsi="Times New Roman" w:cs="Times New Roman"/>
          <w:sz w:val="24"/>
        </w:rPr>
        <w:t xml:space="preserve"> (2012), o </w:t>
      </w:r>
      <w:r w:rsidR="00D76C57">
        <w:rPr>
          <w:rFonts w:ascii="Times New Roman" w:hAnsi="Times New Roman" w:cs="Times New Roman"/>
          <w:sz w:val="24"/>
        </w:rPr>
        <w:t>potencial energético encontrado do desbaste de teca</w:t>
      </w:r>
      <w:r w:rsidR="006B6A2D">
        <w:rPr>
          <w:rFonts w:ascii="Times New Roman" w:hAnsi="Times New Roman" w:cs="Times New Roman"/>
          <w:sz w:val="24"/>
        </w:rPr>
        <w:t xml:space="preserve"> do presente trabalho</w:t>
      </w:r>
      <w:r w:rsidR="00D76C57">
        <w:rPr>
          <w:rFonts w:ascii="Times New Roman" w:hAnsi="Times New Roman" w:cs="Times New Roman"/>
          <w:sz w:val="24"/>
        </w:rPr>
        <w:t xml:space="preserve"> foi de </w:t>
      </w:r>
      <w:r>
        <w:rPr>
          <w:rFonts w:ascii="Times New Roman" w:hAnsi="Times New Roman" w:cs="Times New Roman"/>
          <w:sz w:val="24"/>
        </w:rPr>
        <w:t xml:space="preserve">167,38 </w:t>
      </w:r>
      <w:r w:rsidRPr="00F74E1C">
        <w:rPr>
          <w:rFonts w:ascii="Times New Roman" w:hAnsi="Times New Roman" w:cs="Times New Roman"/>
          <w:sz w:val="24"/>
        </w:rPr>
        <w:t>GJ ha</w:t>
      </w:r>
      <w:r w:rsidRPr="00F74E1C">
        <w:rPr>
          <w:rFonts w:ascii="Times New Roman" w:hAnsi="Times New Roman" w:cs="Times New Roman"/>
          <w:sz w:val="24"/>
          <w:vertAlign w:val="superscript"/>
        </w:rPr>
        <w:t>-1</w:t>
      </w:r>
      <w:r w:rsidR="006B6A2D">
        <w:rPr>
          <w:rFonts w:ascii="Times New Roman" w:hAnsi="Times New Roman" w:cs="Times New Roman"/>
          <w:sz w:val="24"/>
        </w:rPr>
        <w:t xml:space="preserve">. Eufrade Junior (2016) estudou o PCS para clones híbridos de </w:t>
      </w:r>
      <w:proofErr w:type="spellStart"/>
      <w:r w:rsidR="006B6A2D" w:rsidRPr="006B6A2D">
        <w:rPr>
          <w:rFonts w:ascii="Times New Roman" w:hAnsi="Times New Roman" w:cs="Times New Roman"/>
          <w:i/>
          <w:sz w:val="24"/>
        </w:rPr>
        <w:t>Eucalyptus</w:t>
      </w:r>
      <w:proofErr w:type="spellEnd"/>
      <w:r w:rsidR="006B6A2D" w:rsidRPr="006B6A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B6A2D" w:rsidRPr="006B6A2D">
        <w:rPr>
          <w:rFonts w:ascii="Times New Roman" w:hAnsi="Times New Roman" w:cs="Times New Roman"/>
          <w:i/>
          <w:sz w:val="24"/>
        </w:rPr>
        <w:t>urophylla</w:t>
      </w:r>
      <w:proofErr w:type="spellEnd"/>
      <w:r w:rsidR="006B6A2D" w:rsidRPr="006B6A2D">
        <w:rPr>
          <w:rFonts w:ascii="Times New Roman" w:hAnsi="Times New Roman" w:cs="Times New Roman"/>
          <w:sz w:val="24"/>
        </w:rPr>
        <w:t xml:space="preserve"> </w:t>
      </w:r>
      <w:r w:rsidR="006B6A2D" w:rsidRPr="00097D88">
        <w:rPr>
          <w:rFonts w:ascii="Times New Roman" w:hAnsi="Times New Roman" w:cs="Times New Roman"/>
          <w:sz w:val="24"/>
        </w:rPr>
        <w:t>×</w:t>
      </w:r>
      <w:r w:rsidR="006B6A2D" w:rsidRPr="006B6A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A2D" w:rsidRPr="006B6A2D">
        <w:rPr>
          <w:rFonts w:ascii="Times New Roman" w:hAnsi="Times New Roman" w:cs="Times New Roman"/>
          <w:i/>
          <w:sz w:val="24"/>
        </w:rPr>
        <w:t>Eucalyptus</w:t>
      </w:r>
      <w:proofErr w:type="spellEnd"/>
      <w:r w:rsidR="006B6A2D" w:rsidRPr="006B6A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B6A2D" w:rsidRPr="006B6A2D">
        <w:rPr>
          <w:rFonts w:ascii="Times New Roman" w:hAnsi="Times New Roman" w:cs="Times New Roman"/>
          <w:i/>
          <w:sz w:val="24"/>
        </w:rPr>
        <w:t>grandis</w:t>
      </w:r>
      <w:proofErr w:type="spellEnd"/>
      <w:r w:rsidR="006B6A2D">
        <w:rPr>
          <w:rFonts w:ascii="Times New Roman" w:hAnsi="Times New Roman" w:cs="Times New Roman"/>
          <w:sz w:val="24"/>
        </w:rPr>
        <w:t xml:space="preserve"> e obteve o valor de </w:t>
      </w:r>
      <w:r w:rsidR="006B6A2D" w:rsidRPr="006B6A2D">
        <w:rPr>
          <w:rFonts w:ascii="Times New Roman" w:hAnsi="Times New Roman" w:cs="Times New Roman"/>
          <w:sz w:val="24"/>
        </w:rPr>
        <w:t xml:space="preserve">743.3 GJ </w:t>
      </w:r>
      <w:r w:rsidR="006B6A2D" w:rsidRPr="00F74E1C">
        <w:rPr>
          <w:rFonts w:ascii="Times New Roman" w:hAnsi="Times New Roman" w:cs="Times New Roman"/>
          <w:sz w:val="24"/>
        </w:rPr>
        <w:t>ha</w:t>
      </w:r>
      <w:r w:rsidR="006B6A2D" w:rsidRPr="00F74E1C">
        <w:rPr>
          <w:rFonts w:ascii="Times New Roman" w:hAnsi="Times New Roman" w:cs="Times New Roman"/>
          <w:sz w:val="24"/>
          <w:vertAlign w:val="superscript"/>
        </w:rPr>
        <w:t>-1</w:t>
      </w:r>
      <w:r w:rsidR="006B6A2D">
        <w:rPr>
          <w:rFonts w:ascii="Times New Roman" w:hAnsi="Times New Roman" w:cs="Times New Roman"/>
          <w:sz w:val="24"/>
        </w:rPr>
        <w:t>, superior ao da teca.</w:t>
      </w:r>
    </w:p>
    <w:p w14:paraId="70BA7F77" w14:textId="77777777" w:rsidR="006B6A2D" w:rsidRDefault="006B6A2D" w:rsidP="006B6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1755931F" w14:textId="77777777" w:rsidR="00F243ED" w:rsidRDefault="00F243ED" w:rsidP="00F24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43ED">
        <w:rPr>
          <w:rFonts w:ascii="Times New Roman" w:hAnsi="Times New Roman" w:cs="Times New Roman"/>
          <w:b/>
          <w:sz w:val="24"/>
        </w:rPr>
        <w:t>Conclusões</w:t>
      </w:r>
    </w:p>
    <w:p w14:paraId="3387C171" w14:textId="72D39A1A" w:rsidR="00A57447" w:rsidRPr="00F97ACF" w:rsidRDefault="002C356F" w:rsidP="00A52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7ACF">
        <w:rPr>
          <w:rFonts w:ascii="Times New Roman" w:hAnsi="Times New Roman" w:cs="Times New Roman"/>
          <w:sz w:val="24"/>
        </w:rPr>
        <w:t xml:space="preserve">Na simulação de desbaste por baixo ao plantio </w:t>
      </w:r>
      <w:r w:rsidRPr="00F97ACF">
        <w:rPr>
          <w:rFonts w:ascii="Times New Roman" w:hAnsi="Times New Roman" w:cs="Times New Roman"/>
          <w:i/>
          <w:iCs/>
          <w:sz w:val="24"/>
        </w:rPr>
        <w:t>Tectona grandis</w:t>
      </w:r>
      <w:r w:rsidRPr="00F97ACF">
        <w:rPr>
          <w:rFonts w:ascii="Times New Roman" w:hAnsi="Times New Roman" w:cs="Times New Roman"/>
          <w:sz w:val="24"/>
        </w:rPr>
        <w:t xml:space="preserve"> aos 15 anos de idade em Botucatu-</w:t>
      </w:r>
      <w:r w:rsidR="003F10B1" w:rsidRPr="00F97ACF">
        <w:rPr>
          <w:rFonts w:ascii="Times New Roman" w:hAnsi="Times New Roman" w:cs="Times New Roman"/>
          <w:sz w:val="24"/>
        </w:rPr>
        <w:t>SP, a</w:t>
      </w:r>
      <w:r w:rsidRPr="00F97ACF">
        <w:rPr>
          <w:rFonts w:ascii="Times New Roman" w:hAnsi="Times New Roman" w:cs="Times New Roman"/>
          <w:sz w:val="24"/>
        </w:rPr>
        <w:t xml:space="preserve"> espécie tem capacidade de gerar </w:t>
      </w:r>
      <w:r w:rsidR="00F97ACF" w:rsidRPr="00F97ACF">
        <w:rPr>
          <w:rFonts w:ascii="Times New Roman" w:hAnsi="Times New Roman" w:cs="Times New Roman"/>
          <w:sz w:val="24"/>
        </w:rPr>
        <w:t>8,39</w:t>
      </w:r>
      <w:r w:rsidRPr="00F97ACF">
        <w:rPr>
          <w:rFonts w:ascii="Times New Roman" w:hAnsi="Times New Roman" w:cs="Times New Roman"/>
          <w:sz w:val="24"/>
        </w:rPr>
        <w:t xml:space="preserve"> t ha</w:t>
      </w:r>
      <w:r w:rsidRPr="00F97ACF">
        <w:rPr>
          <w:rFonts w:ascii="Times New Roman" w:hAnsi="Times New Roman" w:cs="Times New Roman"/>
          <w:sz w:val="24"/>
          <w:vertAlign w:val="superscript"/>
        </w:rPr>
        <w:t>-1</w:t>
      </w:r>
      <w:r w:rsidRPr="00F97ACF">
        <w:rPr>
          <w:rFonts w:ascii="Times New Roman" w:hAnsi="Times New Roman" w:cs="Times New Roman"/>
          <w:sz w:val="24"/>
        </w:rPr>
        <w:t xml:space="preserve"> de biomassa para lenha e um potencial energético de </w:t>
      </w:r>
      <w:r w:rsidR="00F74E1C" w:rsidRPr="00F97ACF">
        <w:rPr>
          <w:rFonts w:ascii="Times New Roman" w:hAnsi="Times New Roman" w:cs="Times New Roman"/>
          <w:sz w:val="24"/>
        </w:rPr>
        <w:t>167,38 GJ ha</w:t>
      </w:r>
      <w:r w:rsidR="00F74E1C" w:rsidRPr="00F97ACF">
        <w:rPr>
          <w:rFonts w:ascii="Times New Roman" w:hAnsi="Times New Roman" w:cs="Times New Roman"/>
          <w:sz w:val="24"/>
          <w:vertAlign w:val="superscript"/>
        </w:rPr>
        <w:t>-1</w:t>
      </w:r>
      <w:r w:rsidRPr="00F97ACF">
        <w:rPr>
          <w:rFonts w:ascii="Times New Roman" w:hAnsi="Times New Roman" w:cs="Times New Roman"/>
          <w:sz w:val="24"/>
        </w:rPr>
        <w:t>.</w:t>
      </w:r>
    </w:p>
    <w:p w14:paraId="7A14D33B" w14:textId="17F57E05" w:rsidR="008155CC" w:rsidRDefault="008155CC" w:rsidP="00DC35B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E931B95" w14:textId="77777777" w:rsidR="00021D1C" w:rsidRPr="00021D1C" w:rsidRDefault="00021D1C" w:rsidP="00021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21D1C">
        <w:rPr>
          <w:rFonts w:ascii="Times New Roman" w:hAnsi="Times New Roman" w:cs="Times New Roman"/>
          <w:b/>
          <w:sz w:val="24"/>
        </w:rPr>
        <w:t>Agradecimentos</w:t>
      </w:r>
    </w:p>
    <w:p w14:paraId="3FF05205" w14:textId="70B0EAA9" w:rsidR="00021D1C" w:rsidRPr="00021D1C" w:rsidRDefault="00021D1C" w:rsidP="00021D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1D1C">
        <w:rPr>
          <w:rFonts w:ascii="Times New Roman" w:hAnsi="Times New Roman" w:cs="Times New Roman"/>
          <w:sz w:val="24"/>
        </w:rPr>
        <w:t>Os autores agradecem à Faculdade de Ciências Agronômi</w:t>
      </w:r>
      <w:r>
        <w:rPr>
          <w:rFonts w:ascii="Times New Roman" w:hAnsi="Times New Roman" w:cs="Times New Roman"/>
          <w:sz w:val="24"/>
        </w:rPr>
        <w:t xml:space="preserve">cas (FCA/UNESP) </w:t>
      </w:r>
      <w:r w:rsidRPr="00021D1C">
        <w:rPr>
          <w:rFonts w:ascii="Times New Roman" w:hAnsi="Times New Roman" w:cs="Times New Roman"/>
          <w:sz w:val="24"/>
        </w:rPr>
        <w:t>e ao Laboratório de Biomassa e Bioenergia (LABB/IPBEN).</w:t>
      </w:r>
    </w:p>
    <w:p w14:paraId="0BF86DB5" w14:textId="77777777" w:rsidR="00F243ED" w:rsidRPr="008155CC" w:rsidRDefault="00F243ED" w:rsidP="00DC35B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4956230" w14:textId="3A7C3267" w:rsidR="00DC35B6" w:rsidRPr="00854F77" w:rsidRDefault="00DC35B6" w:rsidP="00DC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4F77">
        <w:rPr>
          <w:rFonts w:ascii="Times New Roman" w:hAnsi="Times New Roman" w:cs="Times New Roman"/>
          <w:b/>
          <w:sz w:val="24"/>
        </w:rPr>
        <w:t>Referências</w:t>
      </w:r>
      <w:r w:rsidRPr="00854F77">
        <w:rPr>
          <w:rFonts w:ascii="Times New Roman" w:hAnsi="Times New Roman" w:cs="Times New Roman"/>
          <w:sz w:val="24"/>
        </w:rPr>
        <w:t xml:space="preserve"> </w:t>
      </w:r>
    </w:p>
    <w:p w14:paraId="49A67EB9" w14:textId="77777777" w:rsidR="006E2092" w:rsidRPr="00854F77" w:rsidRDefault="006E2092" w:rsidP="00DC35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E4B670" w14:textId="79A8F3B3" w:rsidR="00F2080E" w:rsidRPr="00550E61" w:rsidRDefault="00DC35B6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0E61">
        <w:rPr>
          <w:rFonts w:ascii="Times New Roman" w:hAnsi="Times New Roman" w:cs="Times New Roman"/>
          <w:sz w:val="24"/>
        </w:rPr>
        <w:t xml:space="preserve">[1] </w:t>
      </w:r>
      <w:r w:rsidR="00F2080E" w:rsidRPr="00550E61">
        <w:rPr>
          <w:rFonts w:ascii="Times New Roman" w:hAnsi="Times New Roman" w:cs="Times New Roman"/>
          <w:sz w:val="24"/>
        </w:rPr>
        <w:t xml:space="preserve">VIEIRA, Cristiane Ramos et al. </w:t>
      </w:r>
      <w:r w:rsidR="00F2080E" w:rsidRPr="00F2080E">
        <w:rPr>
          <w:rFonts w:ascii="Times New Roman" w:hAnsi="Times New Roman" w:cs="Times New Roman"/>
          <w:i/>
          <w:sz w:val="24"/>
          <w:lang w:val="en-US"/>
        </w:rPr>
        <w:t>Canonical Correlation Analysis Between Growth and Nutrition in Teak Seedlings</w:t>
      </w:r>
      <w:r w:rsidR="00F2080E" w:rsidRPr="00F2080E">
        <w:rPr>
          <w:rFonts w:ascii="Times New Roman" w:hAnsi="Times New Roman" w:cs="Times New Roman"/>
          <w:sz w:val="24"/>
          <w:lang w:val="en-US"/>
        </w:rPr>
        <w:t xml:space="preserve">. </w:t>
      </w:r>
      <w:r w:rsidR="00F2080E" w:rsidRPr="00550E61">
        <w:rPr>
          <w:rFonts w:ascii="Times New Roman" w:hAnsi="Times New Roman" w:cs="Times New Roman"/>
          <w:sz w:val="24"/>
        </w:rPr>
        <w:t>Floresta Ambiente., Seropédica, v. 26, n. 2, e20170814</w:t>
      </w:r>
      <w:r w:rsidR="00375F79" w:rsidRPr="00550E61">
        <w:rPr>
          <w:rFonts w:ascii="Times New Roman" w:hAnsi="Times New Roman" w:cs="Times New Roman"/>
          <w:sz w:val="24"/>
        </w:rPr>
        <w:t>, 2019</w:t>
      </w:r>
      <w:r w:rsidR="00F2080E" w:rsidRPr="00550E61">
        <w:rPr>
          <w:rFonts w:ascii="Times New Roman" w:hAnsi="Times New Roman" w:cs="Times New Roman"/>
          <w:sz w:val="24"/>
        </w:rPr>
        <w:t>.</w:t>
      </w:r>
    </w:p>
    <w:p w14:paraId="3E37A8DA" w14:textId="77777777" w:rsidR="00F2080E" w:rsidRPr="00550E61" w:rsidRDefault="00F2080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8557595" w14:textId="52FDEAD8" w:rsidR="00F2080E" w:rsidRDefault="00F2080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[2]</w:t>
      </w:r>
      <w:r w:rsidRPr="00F2080E">
        <w:t xml:space="preserve"> </w:t>
      </w:r>
      <w:r w:rsidRPr="00F2080E">
        <w:rPr>
          <w:rFonts w:ascii="Times New Roman" w:hAnsi="Times New Roman" w:cs="Times New Roman"/>
          <w:sz w:val="24"/>
        </w:rPr>
        <w:t>COIMBRA EC, VAZQUE</w:t>
      </w:r>
      <w:r>
        <w:rPr>
          <w:rFonts w:ascii="Times New Roman" w:hAnsi="Times New Roman" w:cs="Times New Roman"/>
          <w:sz w:val="24"/>
        </w:rPr>
        <w:t xml:space="preserve">Z GH, NOGUEIRA TO. </w:t>
      </w:r>
      <w:r w:rsidRPr="00F2080E">
        <w:rPr>
          <w:rFonts w:ascii="Times New Roman" w:hAnsi="Times New Roman" w:cs="Times New Roman"/>
          <w:i/>
          <w:sz w:val="24"/>
        </w:rPr>
        <w:t>Superação de dormência e o uso de fungicida em diásporos de teca</w:t>
      </w:r>
      <w:r>
        <w:rPr>
          <w:rFonts w:ascii="Times New Roman" w:hAnsi="Times New Roman" w:cs="Times New Roman"/>
          <w:sz w:val="24"/>
        </w:rPr>
        <w:t xml:space="preserve">. </w:t>
      </w:r>
      <w:r w:rsidRPr="00F2080E">
        <w:rPr>
          <w:rFonts w:ascii="Times New Roman" w:hAnsi="Times New Roman" w:cs="Times New Roman"/>
          <w:sz w:val="24"/>
        </w:rPr>
        <w:t>Revista Brasileira de Engenh</w:t>
      </w:r>
      <w:r>
        <w:rPr>
          <w:rFonts w:ascii="Times New Roman" w:hAnsi="Times New Roman" w:cs="Times New Roman"/>
          <w:sz w:val="24"/>
        </w:rPr>
        <w:t>aria Agrícola e Ambiental 2014;</w:t>
      </w:r>
    </w:p>
    <w:p w14:paraId="018CC36D" w14:textId="77777777" w:rsidR="00F2080E" w:rsidRDefault="00F2080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1031EE76" w14:textId="77777777" w:rsidR="00F2080E" w:rsidRDefault="00F2080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[3] </w:t>
      </w:r>
      <w:r w:rsidRPr="00F2080E">
        <w:rPr>
          <w:rFonts w:ascii="Times New Roman" w:hAnsi="Times New Roman" w:cs="Times New Roman"/>
          <w:sz w:val="24"/>
        </w:rPr>
        <w:t>Indústria Brasileira de Árv</w:t>
      </w:r>
      <w:r>
        <w:rPr>
          <w:rFonts w:ascii="Times New Roman" w:hAnsi="Times New Roman" w:cs="Times New Roman"/>
          <w:sz w:val="24"/>
        </w:rPr>
        <w:t xml:space="preserve">ores – IBÁ. </w:t>
      </w:r>
      <w:r w:rsidRPr="00F2080E">
        <w:rPr>
          <w:rFonts w:ascii="Times New Roman" w:hAnsi="Times New Roman" w:cs="Times New Roman"/>
          <w:i/>
          <w:sz w:val="24"/>
        </w:rPr>
        <w:t>Relatório 2019</w:t>
      </w:r>
      <w:r w:rsidRPr="00F2080E">
        <w:rPr>
          <w:rFonts w:ascii="Times New Roman" w:hAnsi="Times New Roman" w:cs="Times New Roman"/>
          <w:sz w:val="24"/>
        </w:rPr>
        <w:t>. Brasília: IBÁ; 201</w:t>
      </w:r>
      <w:r>
        <w:rPr>
          <w:rFonts w:ascii="Times New Roman" w:hAnsi="Times New Roman" w:cs="Times New Roman"/>
          <w:sz w:val="24"/>
        </w:rPr>
        <w:t>9</w:t>
      </w:r>
      <w:r w:rsidRPr="00F208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80</w:t>
      </w:r>
      <w:r w:rsidRPr="00F2080E">
        <w:rPr>
          <w:rFonts w:ascii="Times New Roman" w:hAnsi="Times New Roman" w:cs="Times New Roman"/>
          <w:sz w:val="24"/>
        </w:rPr>
        <w:t xml:space="preserve"> p.</w:t>
      </w:r>
    </w:p>
    <w:p w14:paraId="6695F1BE" w14:textId="77777777" w:rsidR="00F2080E" w:rsidRDefault="00F2080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167F94E" w14:textId="434032C2" w:rsidR="00F2080E" w:rsidRDefault="00A57447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[4] </w:t>
      </w:r>
      <w:r w:rsidR="009D39EC" w:rsidRPr="00F2080E">
        <w:rPr>
          <w:rFonts w:ascii="Times New Roman" w:hAnsi="Times New Roman" w:cs="Times New Roman"/>
          <w:sz w:val="24"/>
        </w:rPr>
        <w:t>BONDUELLE GM, IWAKIRI S, T</w:t>
      </w:r>
      <w:r w:rsidR="009D39EC">
        <w:rPr>
          <w:rFonts w:ascii="Times New Roman" w:hAnsi="Times New Roman" w:cs="Times New Roman"/>
          <w:sz w:val="24"/>
        </w:rPr>
        <w:t>RIANOSKI R, PRATA JG, ROCHA VY</w:t>
      </w:r>
      <w:r w:rsidR="00F2080E">
        <w:rPr>
          <w:rFonts w:ascii="Times New Roman" w:hAnsi="Times New Roman" w:cs="Times New Roman"/>
          <w:sz w:val="24"/>
        </w:rPr>
        <w:t xml:space="preserve">. </w:t>
      </w:r>
      <w:r w:rsidR="00F2080E" w:rsidRPr="00F2080E">
        <w:rPr>
          <w:rFonts w:ascii="Times New Roman" w:hAnsi="Times New Roman" w:cs="Times New Roman"/>
          <w:i/>
          <w:sz w:val="24"/>
        </w:rPr>
        <w:t xml:space="preserve">Análise da massa específica e da </w:t>
      </w:r>
      <w:proofErr w:type="spellStart"/>
      <w:r w:rsidR="00F2080E" w:rsidRPr="00F2080E">
        <w:rPr>
          <w:rFonts w:ascii="Times New Roman" w:hAnsi="Times New Roman" w:cs="Times New Roman"/>
          <w:i/>
          <w:sz w:val="24"/>
        </w:rPr>
        <w:t>retrabilidade</w:t>
      </w:r>
      <w:proofErr w:type="spellEnd"/>
      <w:r w:rsidR="00F2080E" w:rsidRPr="00F2080E">
        <w:rPr>
          <w:rFonts w:ascii="Times New Roman" w:hAnsi="Times New Roman" w:cs="Times New Roman"/>
          <w:i/>
          <w:sz w:val="24"/>
        </w:rPr>
        <w:t xml:space="preserve"> da madeira de Tectona grandis nos sentidos axial e radial do tronco</w:t>
      </w:r>
      <w:r w:rsidR="00F2080E">
        <w:rPr>
          <w:rFonts w:ascii="Times New Roman" w:hAnsi="Times New Roman" w:cs="Times New Roman"/>
          <w:sz w:val="24"/>
        </w:rPr>
        <w:t xml:space="preserve">. </w:t>
      </w:r>
      <w:r w:rsidR="00F2080E" w:rsidRPr="00F2080E">
        <w:rPr>
          <w:rFonts w:ascii="Times New Roman" w:hAnsi="Times New Roman" w:cs="Times New Roman"/>
          <w:sz w:val="24"/>
        </w:rPr>
        <w:t>Floresta 2015;</w:t>
      </w:r>
    </w:p>
    <w:p w14:paraId="2CD3D717" w14:textId="77777777" w:rsidR="0065465F" w:rsidRDefault="0065465F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55EF5835" w14:textId="77777777" w:rsidR="00A57447" w:rsidRDefault="00A57447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[5] </w:t>
      </w:r>
      <w:r w:rsidRPr="00A57447">
        <w:rPr>
          <w:rFonts w:ascii="Times New Roman" w:hAnsi="Times New Roman" w:cs="Times New Roman"/>
          <w:sz w:val="24"/>
        </w:rPr>
        <w:t xml:space="preserve">LAMPRECHT, H. </w:t>
      </w:r>
      <w:r w:rsidRPr="00A57447">
        <w:rPr>
          <w:rFonts w:ascii="Times New Roman" w:hAnsi="Times New Roman" w:cs="Times New Roman"/>
          <w:i/>
          <w:sz w:val="24"/>
        </w:rPr>
        <w:t>Silvicultura nos trópicos: ecossistemas florestais e respectivas espécies arbóreas, Possibilidade e métodos de aproveitamento sustentado.</w:t>
      </w:r>
      <w:r w:rsidRPr="00A574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447">
        <w:rPr>
          <w:rFonts w:ascii="Times New Roman" w:hAnsi="Times New Roman" w:cs="Times New Roman"/>
          <w:sz w:val="24"/>
        </w:rPr>
        <w:t>Eschborn</w:t>
      </w:r>
      <w:proofErr w:type="spellEnd"/>
      <w:r w:rsidRPr="00A5744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57447">
        <w:rPr>
          <w:rFonts w:ascii="Times New Roman" w:hAnsi="Times New Roman" w:cs="Times New Roman"/>
          <w:sz w:val="24"/>
        </w:rPr>
        <w:t>Dt</w:t>
      </w:r>
      <w:proofErr w:type="spellEnd"/>
      <w:r w:rsidRPr="00A574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447">
        <w:rPr>
          <w:rFonts w:ascii="Times New Roman" w:hAnsi="Times New Roman" w:cs="Times New Roman"/>
          <w:sz w:val="24"/>
        </w:rPr>
        <w:t>Ges</w:t>
      </w:r>
      <w:proofErr w:type="spellEnd"/>
      <w:r w:rsidRPr="00A5744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7447">
        <w:rPr>
          <w:rFonts w:ascii="Times New Roman" w:hAnsi="Times New Roman" w:cs="Times New Roman"/>
          <w:sz w:val="24"/>
        </w:rPr>
        <w:t>Für</w:t>
      </w:r>
      <w:proofErr w:type="spellEnd"/>
      <w:r w:rsidRPr="00A574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447">
        <w:rPr>
          <w:rFonts w:ascii="Times New Roman" w:hAnsi="Times New Roman" w:cs="Times New Roman"/>
          <w:sz w:val="24"/>
        </w:rPr>
        <w:t>Techn</w:t>
      </w:r>
      <w:proofErr w:type="spellEnd"/>
      <w:r w:rsidRPr="00A5744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447">
        <w:rPr>
          <w:rFonts w:ascii="Times New Roman" w:hAnsi="Times New Roman" w:cs="Times New Roman"/>
          <w:sz w:val="24"/>
        </w:rPr>
        <w:t>Zusammenarbeit</w:t>
      </w:r>
      <w:proofErr w:type="spellEnd"/>
      <w:r w:rsidRPr="00A57447">
        <w:rPr>
          <w:rFonts w:ascii="Times New Roman" w:hAnsi="Times New Roman" w:cs="Times New Roman"/>
          <w:sz w:val="24"/>
        </w:rPr>
        <w:t xml:space="preserve"> (GTZ). </w:t>
      </w:r>
      <w:proofErr w:type="spellStart"/>
      <w:r w:rsidRPr="00A57447">
        <w:rPr>
          <w:rFonts w:ascii="Times New Roman" w:hAnsi="Times New Roman" w:cs="Times New Roman"/>
          <w:sz w:val="24"/>
        </w:rPr>
        <w:t>GmbH</w:t>
      </w:r>
      <w:proofErr w:type="spellEnd"/>
      <w:r w:rsidRPr="00A57447">
        <w:rPr>
          <w:rFonts w:ascii="Times New Roman" w:hAnsi="Times New Roman" w:cs="Times New Roman"/>
          <w:sz w:val="24"/>
        </w:rPr>
        <w:t>. 343p. 1990.</w:t>
      </w:r>
    </w:p>
    <w:p w14:paraId="5F47C2FF" w14:textId="77777777" w:rsidR="0065465F" w:rsidRDefault="0065465F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1454138" w14:textId="77777777" w:rsidR="001478AC" w:rsidRDefault="00A57447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478AC">
        <w:rPr>
          <w:rFonts w:ascii="Times New Roman" w:hAnsi="Times New Roman" w:cs="Times New Roman"/>
          <w:sz w:val="24"/>
        </w:rPr>
        <w:t>6</w:t>
      </w:r>
      <w:r w:rsidR="0065465F">
        <w:rPr>
          <w:rFonts w:ascii="Times New Roman" w:hAnsi="Times New Roman" w:cs="Times New Roman"/>
          <w:sz w:val="24"/>
        </w:rPr>
        <w:t xml:space="preserve">] </w:t>
      </w:r>
      <w:r w:rsidR="003218B0" w:rsidRPr="0065465F">
        <w:rPr>
          <w:rFonts w:ascii="Times New Roman" w:hAnsi="Times New Roman" w:cs="Times New Roman"/>
          <w:sz w:val="24"/>
        </w:rPr>
        <w:t xml:space="preserve">PELISSARI, A. L.; GUIMARÃES, P. P.; BEHLING, A.; EBLING, A. A. </w:t>
      </w:r>
      <w:r w:rsidR="003218B0" w:rsidRPr="0065465F">
        <w:rPr>
          <w:rFonts w:ascii="Times New Roman" w:hAnsi="Times New Roman" w:cs="Times New Roman"/>
          <w:i/>
          <w:sz w:val="24"/>
        </w:rPr>
        <w:t>Cultivo da teca: características da espécie para implantação e condução de povoamentos florestais</w:t>
      </w:r>
      <w:r w:rsidR="003218B0" w:rsidRPr="0065465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218B0" w:rsidRPr="0065465F">
        <w:rPr>
          <w:rFonts w:ascii="Times New Roman" w:hAnsi="Times New Roman" w:cs="Times New Roman"/>
          <w:sz w:val="24"/>
        </w:rPr>
        <w:t>Agrarian</w:t>
      </w:r>
      <w:proofErr w:type="spellEnd"/>
      <w:r w:rsidR="003218B0" w:rsidRPr="006546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18B0" w:rsidRPr="0065465F">
        <w:rPr>
          <w:rFonts w:ascii="Times New Roman" w:hAnsi="Times New Roman" w:cs="Times New Roman"/>
          <w:sz w:val="24"/>
        </w:rPr>
        <w:t>Academy</w:t>
      </w:r>
      <w:proofErr w:type="spellEnd"/>
      <w:r w:rsidR="003218B0" w:rsidRPr="0065465F">
        <w:rPr>
          <w:rFonts w:ascii="Times New Roman" w:hAnsi="Times New Roman" w:cs="Times New Roman"/>
          <w:sz w:val="24"/>
        </w:rPr>
        <w:t>, v. 1, n. 1, p. 127–145, 2014.</w:t>
      </w:r>
    </w:p>
    <w:p w14:paraId="2E2D68D5" w14:textId="77777777" w:rsidR="001478AC" w:rsidRDefault="001478A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19C1666F" w14:textId="11D8BD64" w:rsidR="001478AC" w:rsidRDefault="001478A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[7] </w:t>
      </w:r>
      <w:r w:rsidRPr="0065465F">
        <w:rPr>
          <w:rFonts w:ascii="Times New Roman" w:hAnsi="Times New Roman" w:cs="Times New Roman"/>
          <w:sz w:val="24"/>
        </w:rPr>
        <w:t>GOMES</w:t>
      </w:r>
      <w:r>
        <w:rPr>
          <w:rFonts w:ascii="Times New Roman" w:hAnsi="Times New Roman" w:cs="Times New Roman"/>
          <w:sz w:val="24"/>
        </w:rPr>
        <w:t xml:space="preserve"> DE OLIVEIRA, Pedro Paulo et al</w:t>
      </w:r>
      <w:r w:rsidRPr="0065465F">
        <w:rPr>
          <w:rFonts w:ascii="Times New Roman" w:hAnsi="Times New Roman" w:cs="Times New Roman"/>
          <w:sz w:val="24"/>
        </w:rPr>
        <w:t xml:space="preserve">. </w:t>
      </w:r>
      <w:r w:rsidRPr="0065465F">
        <w:rPr>
          <w:rFonts w:ascii="Times New Roman" w:hAnsi="Times New Roman" w:cs="Times New Roman"/>
          <w:i/>
          <w:sz w:val="24"/>
        </w:rPr>
        <w:t xml:space="preserve">Influência da época e do número de desrama sobre o desenvolvimento inicial de Tectona grandis l. F. no sistema </w:t>
      </w:r>
      <w:proofErr w:type="spellStart"/>
      <w:r w:rsidRPr="0065465F">
        <w:rPr>
          <w:rFonts w:ascii="Times New Roman" w:hAnsi="Times New Roman" w:cs="Times New Roman"/>
          <w:i/>
          <w:sz w:val="24"/>
        </w:rPr>
        <w:t>silvipastoril</w:t>
      </w:r>
      <w:proofErr w:type="spellEnd"/>
      <w:r w:rsidRPr="0065465F">
        <w:rPr>
          <w:rFonts w:ascii="Times New Roman" w:hAnsi="Times New Roman" w:cs="Times New Roman"/>
          <w:sz w:val="24"/>
        </w:rPr>
        <w:t xml:space="preserve">. </w:t>
      </w:r>
      <w:r w:rsidRPr="003218B0">
        <w:rPr>
          <w:rFonts w:ascii="Times New Roman" w:hAnsi="Times New Roman" w:cs="Times New Roman"/>
          <w:sz w:val="24"/>
        </w:rPr>
        <w:t xml:space="preserve">Investig. Agrar., San Lorenzo, v. 22, n. 1, p. 39-45, </w:t>
      </w:r>
      <w:proofErr w:type="gramStart"/>
      <w:r w:rsidRPr="003218B0">
        <w:rPr>
          <w:rFonts w:ascii="Times New Roman" w:hAnsi="Times New Roman" w:cs="Times New Roman"/>
          <w:sz w:val="24"/>
        </w:rPr>
        <w:t>Junho</w:t>
      </w:r>
      <w:proofErr w:type="gramEnd"/>
      <w:r w:rsidRPr="003218B0">
        <w:rPr>
          <w:rFonts w:ascii="Times New Roman" w:hAnsi="Times New Roman" w:cs="Times New Roman"/>
          <w:sz w:val="24"/>
        </w:rPr>
        <w:t xml:space="preserve"> 2020</w:t>
      </w:r>
      <w:r w:rsidRPr="0065465F">
        <w:rPr>
          <w:rFonts w:ascii="Times New Roman" w:hAnsi="Times New Roman" w:cs="Times New Roman"/>
          <w:sz w:val="24"/>
        </w:rPr>
        <w:t xml:space="preserve">.  </w:t>
      </w:r>
    </w:p>
    <w:p w14:paraId="1CE46AB9" w14:textId="77777777" w:rsidR="0065465F" w:rsidRPr="0065465F" w:rsidRDefault="0065465F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01DEF102" w14:textId="77777777" w:rsidR="003218B0" w:rsidRDefault="00A57447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[8</w:t>
      </w:r>
      <w:r w:rsidR="003218B0">
        <w:rPr>
          <w:rFonts w:ascii="Times New Roman" w:hAnsi="Times New Roman" w:cs="Times New Roman"/>
          <w:sz w:val="24"/>
        </w:rPr>
        <w:t xml:space="preserve">] </w:t>
      </w:r>
      <w:r w:rsidR="003218B0" w:rsidRPr="003218B0">
        <w:rPr>
          <w:rFonts w:ascii="Times New Roman" w:hAnsi="Times New Roman" w:cs="Times New Roman"/>
          <w:sz w:val="24"/>
        </w:rPr>
        <w:t>RIBEIRO, N.; SITOE, A.A.; GUEDES, B. S.; STAISS, C. Manual de silvicultura tropical. Maputo: UEM, 2002. 125p.</w:t>
      </w:r>
    </w:p>
    <w:p w14:paraId="60D09D3C" w14:textId="77777777" w:rsidR="003218B0" w:rsidRDefault="003218B0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E2CF9E4" w14:textId="77777777" w:rsidR="00D56279" w:rsidRPr="00F97971" w:rsidRDefault="00D56279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[9] </w:t>
      </w:r>
      <w:r w:rsidRPr="00D56279">
        <w:rPr>
          <w:rFonts w:ascii="Times New Roman" w:hAnsi="Times New Roman" w:cs="Times New Roman"/>
          <w:sz w:val="24"/>
        </w:rPr>
        <w:t>OHANA, C</w:t>
      </w:r>
      <w:r>
        <w:rPr>
          <w:rFonts w:ascii="Times New Roman" w:hAnsi="Times New Roman" w:cs="Times New Roman"/>
          <w:sz w:val="24"/>
        </w:rPr>
        <w:t>.</w:t>
      </w:r>
      <w:r w:rsidRPr="00D56279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>.</w:t>
      </w:r>
      <w:r w:rsidRPr="00D56279">
        <w:rPr>
          <w:rFonts w:ascii="Times New Roman" w:hAnsi="Times New Roman" w:cs="Times New Roman"/>
          <w:sz w:val="24"/>
        </w:rPr>
        <w:t xml:space="preserve"> et al. </w:t>
      </w:r>
      <w:r w:rsidRPr="00D56279">
        <w:rPr>
          <w:rFonts w:ascii="Times New Roman" w:hAnsi="Times New Roman" w:cs="Times New Roman"/>
          <w:i/>
          <w:sz w:val="24"/>
        </w:rPr>
        <w:t>Utilização de resíduos do processamento de teca (</w:t>
      </w:r>
      <w:proofErr w:type="spellStart"/>
      <w:r w:rsidRPr="00D56279">
        <w:rPr>
          <w:rFonts w:ascii="Times New Roman" w:hAnsi="Times New Roman" w:cs="Times New Roman"/>
          <w:i/>
          <w:sz w:val="24"/>
        </w:rPr>
        <w:t>Tectona</w:t>
      </w:r>
      <w:proofErr w:type="spellEnd"/>
      <w:r w:rsidRPr="00D562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279">
        <w:rPr>
          <w:rFonts w:ascii="Times New Roman" w:hAnsi="Times New Roman" w:cs="Times New Roman"/>
          <w:i/>
          <w:sz w:val="24"/>
        </w:rPr>
        <w:t>grandis</w:t>
      </w:r>
      <w:proofErr w:type="spellEnd"/>
      <w:r w:rsidRPr="00D5627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6279">
        <w:rPr>
          <w:rFonts w:ascii="Times New Roman" w:hAnsi="Times New Roman" w:cs="Times New Roman"/>
          <w:i/>
          <w:sz w:val="24"/>
        </w:rPr>
        <w:t>Lf</w:t>
      </w:r>
      <w:proofErr w:type="spellEnd"/>
      <w:r w:rsidRPr="00D56279">
        <w:rPr>
          <w:rFonts w:ascii="Times New Roman" w:hAnsi="Times New Roman" w:cs="Times New Roman"/>
          <w:i/>
          <w:sz w:val="24"/>
        </w:rPr>
        <w:t>) na produção de briquetes.</w:t>
      </w:r>
      <w:r w:rsidRPr="00D56279">
        <w:rPr>
          <w:rFonts w:ascii="Times New Roman" w:hAnsi="Times New Roman" w:cs="Times New Roman"/>
          <w:sz w:val="24"/>
        </w:rPr>
        <w:t xml:space="preserve"> 2012.</w:t>
      </w:r>
      <w:r>
        <w:rPr>
          <w:rFonts w:ascii="Times New Roman" w:hAnsi="Times New Roman" w:cs="Times New Roman"/>
          <w:sz w:val="24"/>
        </w:rPr>
        <w:t xml:space="preserve"> 65p. Dissertação de Mestrado. Universidade Federal Rural do Rio de Janeiro (UFRRJ). </w:t>
      </w:r>
      <w:r w:rsidRPr="00F97971">
        <w:rPr>
          <w:rFonts w:ascii="Times New Roman" w:hAnsi="Times New Roman" w:cs="Times New Roman"/>
          <w:sz w:val="24"/>
          <w:lang w:val="en-US"/>
        </w:rPr>
        <w:t>Rio de Janeiro.</w:t>
      </w:r>
    </w:p>
    <w:p w14:paraId="5E7B6A4E" w14:textId="42702703" w:rsidR="00D56279" w:rsidRDefault="00D56279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639585F0" w14:textId="7A403EF2" w:rsidR="00712AA8" w:rsidRDefault="00712AA8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0DBBC64C" w14:textId="77777777" w:rsidR="00712AA8" w:rsidRPr="00F97971" w:rsidRDefault="00712AA8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4DCA70BF" w14:textId="30A1CAA3" w:rsidR="001478AC" w:rsidRPr="00F66C18" w:rsidRDefault="001478A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s-EC"/>
        </w:rPr>
      </w:pPr>
      <w:r w:rsidRPr="003218B0">
        <w:rPr>
          <w:rFonts w:ascii="Times New Roman" w:hAnsi="Times New Roman" w:cs="Times New Roman"/>
          <w:sz w:val="24"/>
          <w:lang w:val="en-US"/>
        </w:rPr>
        <w:lastRenderedPageBreak/>
        <w:t>[</w:t>
      </w:r>
      <w:r>
        <w:rPr>
          <w:rFonts w:ascii="Times New Roman" w:hAnsi="Times New Roman" w:cs="Times New Roman"/>
          <w:sz w:val="24"/>
          <w:lang w:val="en-US"/>
        </w:rPr>
        <w:t>10</w:t>
      </w:r>
      <w:r w:rsidRPr="003218B0">
        <w:rPr>
          <w:rFonts w:ascii="Times New Roman" w:hAnsi="Times New Roman" w:cs="Times New Roman"/>
          <w:sz w:val="24"/>
          <w:lang w:val="en-US"/>
        </w:rPr>
        <w:t xml:space="preserve">] </w:t>
      </w:r>
      <w:r w:rsidRPr="0065465F">
        <w:rPr>
          <w:rFonts w:ascii="Times New Roman" w:hAnsi="Times New Roman" w:cs="Times New Roman"/>
          <w:sz w:val="24"/>
          <w:lang w:val="en-US"/>
        </w:rPr>
        <w:t xml:space="preserve">SILVA, D. A.; CARON, B. O.; SANQUETTA, C. R.; BEHLING, A.; SCHMIDT, D.; BAMBERG, R.; ELOY, E.; CORTE, A. P. D. </w:t>
      </w:r>
      <w:r w:rsidRPr="0065465F">
        <w:rPr>
          <w:rFonts w:ascii="Times New Roman" w:hAnsi="Times New Roman" w:cs="Times New Roman"/>
          <w:i/>
          <w:sz w:val="24"/>
          <w:lang w:val="en-US"/>
        </w:rPr>
        <w:t>Equations for estimating gross calorific value of wood from four tree species</w:t>
      </w:r>
      <w:r w:rsidRPr="0065465F">
        <w:rPr>
          <w:rFonts w:ascii="Times New Roman" w:hAnsi="Times New Roman" w:cs="Times New Roman"/>
          <w:sz w:val="24"/>
          <w:lang w:val="en-US"/>
        </w:rPr>
        <w:t xml:space="preserve">. </w:t>
      </w:r>
      <w:r w:rsidRPr="0065465F">
        <w:rPr>
          <w:rFonts w:ascii="Times New Roman" w:hAnsi="Times New Roman" w:cs="Times New Roman"/>
          <w:sz w:val="24"/>
          <w:lang w:val="es-EC"/>
        </w:rPr>
        <w:t>Revista Chapingo Serie Ciencias Forestales y del Ambiente, v. 20, n. 2, p. 177-186, abr. 2014b.</w:t>
      </w:r>
    </w:p>
    <w:p w14:paraId="390F0FA2" w14:textId="77777777" w:rsidR="001478AC" w:rsidRPr="00F66C18" w:rsidRDefault="001478A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s-EC"/>
        </w:rPr>
      </w:pPr>
    </w:p>
    <w:p w14:paraId="4D51CFE0" w14:textId="3C3CB5B1" w:rsidR="001478AC" w:rsidRDefault="00D56279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A135D">
        <w:rPr>
          <w:rFonts w:ascii="Times New Roman" w:hAnsi="Times New Roman" w:cs="Times New Roman"/>
          <w:sz w:val="24"/>
        </w:rPr>
        <w:t>[</w:t>
      </w:r>
      <w:r w:rsidR="001478AC" w:rsidRPr="000A135D">
        <w:rPr>
          <w:rFonts w:ascii="Times New Roman" w:hAnsi="Times New Roman" w:cs="Times New Roman"/>
          <w:sz w:val="24"/>
        </w:rPr>
        <w:t>1</w:t>
      </w:r>
      <w:r w:rsidR="001478AC">
        <w:rPr>
          <w:rFonts w:ascii="Times New Roman" w:hAnsi="Times New Roman" w:cs="Times New Roman"/>
          <w:sz w:val="24"/>
        </w:rPr>
        <w:t>1</w:t>
      </w:r>
      <w:r w:rsidR="003218B0" w:rsidRPr="000A135D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>SILVA</w:t>
      </w:r>
      <w:r w:rsidR="00C243F9">
        <w:rPr>
          <w:rFonts w:ascii="Times New Roman" w:hAnsi="Times New Roman" w:cs="Times New Roman"/>
          <w:sz w:val="24"/>
        </w:rPr>
        <w:t>, D. A.;</w:t>
      </w:r>
      <w:r w:rsidR="0065465F">
        <w:rPr>
          <w:rFonts w:ascii="Times New Roman" w:hAnsi="Times New Roman" w:cs="Times New Roman"/>
          <w:sz w:val="24"/>
        </w:rPr>
        <w:t xml:space="preserve"> et al</w:t>
      </w:r>
      <w:r w:rsidR="0065465F" w:rsidRPr="0065465F">
        <w:rPr>
          <w:rFonts w:ascii="Times New Roman" w:hAnsi="Times New Roman" w:cs="Times New Roman"/>
          <w:sz w:val="24"/>
        </w:rPr>
        <w:t xml:space="preserve">. </w:t>
      </w:r>
      <w:r w:rsidR="0065465F" w:rsidRPr="0065465F">
        <w:rPr>
          <w:rFonts w:ascii="Times New Roman" w:hAnsi="Times New Roman" w:cs="Times New Roman"/>
          <w:i/>
          <w:sz w:val="24"/>
        </w:rPr>
        <w:t>Potencial e qualidade da madeira de desbaste de teca para produção de biocombustível</w:t>
      </w:r>
      <w:r w:rsidR="0065465F">
        <w:rPr>
          <w:rFonts w:ascii="Times New Roman" w:hAnsi="Times New Roman" w:cs="Times New Roman"/>
          <w:sz w:val="24"/>
        </w:rPr>
        <w:t xml:space="preserve">. </w:t>
      </w:r>
      <w:r w:rsidR="0065465F" w:rsidRPr="006F3C30">
        <w:rPr>
          <w:rFonts w:ascii="Times New Roman" w:hAnsi="Times New Roman" w:cs="Times New Roman"/>
          <w:sz w:val="24"/>
        </w:rPr>
        <w:t>Pesq. flor. bras., Colombo, v. 35, n. 83, p. 299-305, jul./set. 2015.</w:t>
      </w:r>
    </w:p>
    <w:p w14:paraId="113C642D" w14:textId="77777777" w:rsidR="0065465F" w:rsidRPr="006C1FC6" w:rsidRDefault="0065465F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0E0A63C9" w14:textId="00131096" w:rsidR="00880E88" w:rsidRDefault="00A57447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478AC">
        <w:rPr>
          <w:rFonts w:ascii="Times New Roman" w:hAnsi="Times New Roman" w:cs="Times New Roman"/>
          <w:sz w:val="24"/>
        </w:rPr>
        <w:t>12</w:t>
      </w:r>
      <w:r w:rsidR="003218B0">
        <w:rPr>
          <w:rFonts w:ascii="Times New Roman" w:hAnsi="Times New Roman" w:cs="Times New Roman"/>
          <w:sz w:val="24"/>
        </w:rPr>
        <w:t xml:space="preserve">] </w:t>
      </w:r>
      <w:r w:rsidR="00F2080E" w:rsidRPr="006223D9">
        <w:rPr>
          <w:rFonts w:ascii="Times New Roman" w:hAnsi="Times New Roman" w:cs="Times New Roman"/>
          <w:sz w:val="24"/>
        </w:rPr>
        <w:t>SOARES, C. P. B.; NETO, F. P.; SOUZA, A. L.</w:t>
      </w:r>
      <w:r w:rsidR="00F2080E">
        <w:rPr>
          <w:rFonts w:ascii="Times New Roman" w:hAnsi="Times New Roman" w:cs="Times New Roman"/>
          <w:sz w:val="24"/>
        </w:rPr>
        <w:t xml:space="preserve"> </w:t>
      </w:r>
      <w:r w:rsidR="00F2080E" w:rsidRPr="006223D9">
        <w:rPr>
          <w:rFonts w:ascii="Times New Roman" w:hAnsi="Times New Roman" w:cs="Times New Roman"/>
          <w:bCs/>
          <w:i/>
          <w:sz w:val="24"/>
        </w:rPr>
        <w:t>Dendrometria e inventário florestal</w:t>
      </w:r>
      <w:r w:rsidR="00F2080E" w:rsidRPr="006223D9">
        <w:rPr>
          <w:rFonts w:ascii="Times New Roman" w:hAnsi="Times New Roman" w:cs="Times New Roman"/>
          <w:sz w:val="24"/>
        </w:rPr>
        <w:t>. 2. ed. Viçosa MG: Editora UFV, 2012. 272 p</w:t>
      </w:r>
      <w:r w:rsidR="00F2080E">
        <w:rPr>
          <w:rFonts w:ascii="Times New Roman" w:hAnsi="Times New Roman" w:cs="Times New Roman"/>
          <w:sz w:val="24"/>
        </w:rPr>
        <w:t>.</w:t>
      </w:r>
    </w:p>
    <w:p w14:paraId="6343FCDE" w14:textId="77777777" w:rsidR="00880E88" w:rsidRDefault="00880E88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E1986EA" w14:textId="089A7E90" w:rsidR="00331D3E" w:rsidRDefault="00D56279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478AC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]</w:t>
      </w:r>
      <w:r w:rsidR="00331D3E">
        <w:rPr>
          <w:rFonts w:ascii="Times New Roman" w:hAnsi="Times New Roman" w:cs="Times New Roman"/>
          <w:sz w:val="24"/>
        </w:rPr>
        <w:t xml:space="preserve"> </w:t>
      </w:r>
      <w:r w:rsidR="00E61425" w:rsidRPr="008D3819">
        <w:rPr>
          <w:rFonts w:ascii="Times New Roman" w:hAnsi="Times New Roman" w:cs="Times New Roman"/>
          <w:sz w:val="24"/>
        </w:rPr>
        <w:t>ASSOCIAÇÃO BRASILEIRA DE NORMAS TÉCNICAS</w:t>
      </w:r>
      <w:r w:rsidR="00E61425">
        <w:rPr>
          <w:rFonts w:ascii="Times New Roman" w:hAnsi="Times New Roman" w:cs="Times New Roman"/>
          <w:sz w:val="24"/>
        </w:rPr>
        <w:t>. ABNT</w:t>
      </w:r>
      <w:r w:rsidR="008D3819" w:rsidRPr="008D3819">
        <w:rPr>
          <w:rFonts w:ascii="Times New Roman" w:hAnsi="Times New Roman" w:cs="Times New Roman"/>
          <w:sz w:val="24"/>
        </w:rPr>
        <w:t xml:space="preserve"> NBR 11941: madeira – determinação da densidade básica. Rio de Janeiro, </w:t>
      </w:r>
      <w:r w:rsidR="00E61425">
        <w:rPr>
          <w:rFonts w:ascii="Times New Roman" w:hAnsi="Times New Roman" w:cs="Times New Roman"/>
          <w:sz w:val="24"/>
        </w:rPr>
        <w:t xml:space="preserve">2003. </w:t>
      </w:r>
      <w:r w:rsidR="008D3819" w:rsidRPr="008D3819">
        <w:rPr>
          <w:rFonts w:ascii="Times New Roman" w:hAnsi="Times New Roman" w:cs="Times New Roman"/>
          <w:sz w:val="24"/>
        </w:rPr>
        <w:t>6p</w:t>
      </w:r>
    </w:p>
    <w:p w14:paraId="4459AF53" w14:textId="77777777" w:rsidR="00331D3E" w:rsidRDefault="00331D3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FA7E7B5" w14:textId="41148062" w:rsidR="00331D3E" w:rsidRPr="000A135D" w:rsidRDefault="00331D3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F66C18">
        <w:rPr>
          <w:rFonts w:ascii="Times New Roman" w:hAnsi="Times New Roman" w:cs="Times New Roman"/>
          <w:sz w:val="24"/>
        </w:rPr>
        <w:t>[</w:t>
      </w:r>
      <w:r w:rsidR="001478AC" w:rsidRPr="00F66C18">
        <w:rPr>
          <w:rFonts w:ascii="Times New Roman" w:hAnsi="Times New Roman" w:cs="Times New Roman"/>
          <w:sz w:val="24"/>
        </w:rPr>
        <w:t>14</w:t>
      </w:r>
      <w:r w:rsidRPr="00F66C18">
        <w:rPr>
          <w:rFonts w:ascii="Times New Roman" w:hAnsi="Times New Roman" w:cs="Times New Roman"/>
          <w:sz w:val="24"/>
        </w:rPr>
        <w:t xml:space="preserve">] SIMIONI, F. J. et al. </w:t>
      </w:r>
      <w:r w:rsidRPr="00331D3E">
        <w:rPr>
          <w:rFonts w:ascii="Times New Roman" w:hAnsi="Times New Roman" w:cs="Times New Roman"/>
          <w:i/>
          <w:sz w:val="24"/>
        </w:rPr>
        <w:t>Cadeia produtiva de energia de biomassa florestal: o caso da lenha de eucalipto no polo produtivo de Itapeva-SP. </w:t>
      </w:r>
      <w:proofErr w:type="spellStart"/>
      <w:r w:rsidRPr="000A135D">
        <w:rPr>
          <w:rFonts w:ascii="Times New Roman" w:hAnsi="Times New Roman" w:cs="Times New Roman"/>
          <w:sz w:val="24"/>
          <w:lang w:val="en-US"/>
        </w:rPr>
        <w:t>Ciência</w:t>
      </w:r>
      <w:proofErr w:type="spellEnd"/>
      <w:r w:rsidRPr="000A13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135D">
        <w:rPr>
          <w:rFonts w:ascii="Times New Roman" w:hAnsi="Times New Roman" w:cs="Times New Roman"/>
          <w:sz w:val="24"/>
          <w:lang w:val="en-US"/>
        </w:rPr>
        <w:t>Florestal</w:t>
      </w:r>
      <w:proofErr w:type="spellEnd"/>
      <w:r w:rsidRPr="000A135D">
        <w:rPr>
          <w:rFonts w:ascii="Times New Roman" w:hAnsi="Times New Roman" w:cs="Times New Roman"/>
          <w:sz w:val="24"/>
          <w:lang w:val="en-US"/>
        </w:rPr>
        <w:t>, v. 28, n. 1, p. 310-323, 2018.</w:t>
      </w:r>
    </w:p>
    <w:p w14:paraId="2770DB74" w14:textId="77777777" w:rsidR="00331D3E" w:rsidRPr="000A135D" w:rsidRDefault="00331D3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2F9FBCAB" w14:textId="4A8E16C7" w:rsidR="00331D3E" w:rsidRDefault="00331D3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A135D">
        <w:rPr>
          <w:rFonts w:ascii="Times New Roman" w:hAnsi="Times New Roman" w:cs="Times New Roman"/>
          <w:sz w:val="24"/>
          <w:lang w:val="en-US"/>
        </w:rPr>
        <w:t>[</w:t>
      </w:r>
      <w:r w:rsidR="001478AC" w:rsidRPr="000A135D">
        <w:rPr>
          <w:rFonts w:ascii="Times New Roman" w:hAnsi="Times New Roman" w:cs="Times New Roman"/>
          <w:sz w:val="24"/>
          <w:lang w:val="en-US"/>
        </w:rPr>
        <w:t>1</w:t>
      </w:r>
      <w:r w:rsidR="001478AC">
        <w:rPr>
          <w:rFonts w:ascii="Times New Roman" w:hAnsi="Times New Roman" w:cs="Times New Roman"/>
          <w:sz w:val="24"/>
          <w:lang w:val="en-US"/>
        </w:rPr>
        <w:t>5</w:t>
      </w:r>
      <w:r w:rsidRPr="000A135D">
        <w:rPr>
          <w:rFonts w:ascii="Times New Roman" w:hAnsi="Times New Roman" w:cs="Times New Roman"/>
          <w:sz w:val="24"/>
          <w:lang w:val="en-US"/>
        </w:rPr>
        <w:t xml:space="preserve">] LOETSCH, P.; ZÖHRER, P.; HALLER, K.E. </w:t>
      </w:r>
      <w:r w:rsidRPr="000A135D">
        <w:rPr>
          <w:rFonts w:ascii="Times New Roman" w:hAnsi="Times New Roman" w:cs="Times New Roman"/>
          <w:i/>
          <w:sz w:val="24"/>
          <w:lang w:val="en-US"/>
        </w:rPr>
        <w:t>Forest inventory</w:t>
      </w:r>
      <w:r w:rsidRPr="000A135D">
        <w:rPr>
          <w:rFonts w:ascii="Times New Roman" w:hAnsi="Times New Roman" w:cs="Times New Roman"/>
          <w:sz w:val="24"/>
          <w:lang w:val="en-US"/>
        </w:rPr>
        <w:t xml:space="preserve">. Munich: BLV, 1973. v. 2. </w:t>
      </w:r>
      <w:r w:rsidRPr="00331D3E">
        <w:rPr>
          <w:rFonts w:ascii="Times New Roman" w:hAnsi="Times New Roman" w:cs="Times New Roman"/>
          <w:sz w:val="24"/>
        </w:rPr>
        <w:t>469 p.</w:t>
      </w:r>
    </w:p>
    <w:p w14:paraId="1E15C98F" w14:textId="77777777" w:rsidR="003F0472" w:rsidRDefault="003F0472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5D173C6" w14:textId="2106B210" w:rsidR="003F0472" w:rsidRPr="00F97971" w:rsidRDefault="003F0472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[</w:t>
      </w:r>
      <w:r w:rsidR="001478AC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] </w:t>
      </w:r>
      <w:r w:rsidRPr="003F0472">
        <w:rPr>
          <w:rFonts w:ascii="Times New Roman" w:hAnsi="Times New Roman" w:cs="Times New Roman"/>
          <w:sz w:val="24"/>
        </w:rPr>
        <w:t>RIBEIRO, S. C.</w:t>
      </w:r>
      <w:r>
        <w:rPr>
          <w:rFonts w:ascii="Times New Roman" w:hAnsi="Times New Roman" w:cs="Times New Roman"/>
          <w:sz w:val="24"/>
        </w:rPr>
        <w:t xml:space="preserve"> et al. </w:t>
      </w:r>
      <w:r w:rsidRPr="003F0472">
        <w:rPr>
          <w:rFonts w:ascii="Times New Roman" w:hAnsi="Times New Roman" w:cs="Times New Roman"/>
          <w:i/>
          <w:sz w:val="24"/>
        </w:rPr>
        <w:t>Quantificação de biomassa e estimativa de estoque de carbono em uma floresta madura no município de Viçosa, Minas Gerais.</w:t>
      </w:r>
      <w:r w:rsidRPr="003F04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971">
        <w:rPr>
          <w:rFonts w:ascii="Times New Roman" w:hAnsi="Times New Roman" w:cs="Times New Roman"/>
          <w:sz w:val="24"/>
          <w:lang w:val="en-US"/>
        </w:rPr>
        <w:t>Revista</w:t>
      </w:r>
      <w:proofErr w:type="spellEnd"/>
      <w:r w:rsidRPr="00F979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97971">
        <w:rPr>
          <w:rFonts w:ascii="Times New Roman" w:hAnsi="Times New Roman" w:cs="Times New Roman"/>
          <w:sz w:val="24"/>
          <w:lang w:val="en-US"/>
        </w:rPr>
        <w:t>Àrvore</w:t>
      </w:r>
      <w:proofErr w:type="spellEnd"/>
      <w:r w:rsidRPr="00F9797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97971">
        <w:rPr>
          <w:rFonts w:ascii="Times New Roman" w:hAnsi="Times New Roman" w:cs="Times New Roman"/>
          <w:sz w:val="24"/>
          <w:lang w:val="en-US"/>
        </w:rPr>
        <w:t>Viçosa</w:t>
      </w:r>
      <w:proofErr w:type="spellEnd"/>
      <w:r w:rsidRPr="00F97971">
        <w:rPr>
          <w:rFonts w:ascii="Times New Roman" w:hAnsi="Times New Roman" w:cs="Times New Roman"/>
          <w:sz w:val="24"/>
          <w:lang w:val="en-US"/>
        </w:rPr>
        <w:t>, MG, v. 33, n. 5, p.</w:t>
      </w:r>
      <w:r w:rsidRPr="00F97971">
        <w:rPr>
          <w:color w:val="000000"/>
          <w:sz w:val="18"/>
          <w:szCs w:val="18"/>
          <w:lang w:val="en-US"/>
        </w:rPr>
        <w:t xml:space="preserve"> </w:t>
      </w:r>
      <w:r w:rsidRPr="00F97971">
        <w:rPr>
          <w:rFonts w:ascii="Times New Roman" w:hAnsi="Times New Roman" w:cs="Times New Roman"/>
          <w:sz w:val="24"/>
          <w:lang w:val="en-US"/>
        </w:rPr>
        <w:t>917-926</w:t>
      </w:r>
      <w:r w:rsidR="001478AC" w:rsidRPr="00F97971">
        <w:rPr>
          <w:rFonts w:ascii="Times New Roman" w:hAnsi="Times New Roman" w:cs="Times New Roman"/>
          <w:sz w:val="24"/>
          <w:lang w:val="en-US"/>
        </w:rPr>
        <w:t>, 2009.</w:t>
      </w:r>
    </w:p>
    <w:p w14:paraId="0974FB43" w14:textId="77B3192A" w:rsidR="00E60CDA" w:rsidRDefault="00E60CDA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2CD94C02" w14:textId="2745A3FF" w:rsidR="00712AA8" w:rsidRDefault="00712AA8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35B13B1D" w14:textId="77777777" w:rsidR="00712AA8" w:rsidRPr="00F97971" w:rsidRDefault="00712AA8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61688250" w14:textId="55024FCA" w:rsidR="00E60CDA" w:rsidRPr="005D69F1" w:rsidRDefault="00E60CDA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60CDA">
        <w:rPr>
          <w:rFonts w:ascii="Times New Roman" w:hAnsi="Times New Roman" w:cs="Times New Roman"/>
          <w:sz w:val="24"/>
          <w:lang w:val="en-US"/>
        </w:rPr>
        <w:t xml:space="preserve">[17] EUFRADE JUNIOR, H. J.; MELO, R. X.; SARTORI, M. M. P.; GUERRA, S. P. S.; BALLARIN, A. W. </w:t>
      </w:r>
      <w:r w:rsidRPr="00E60CDA">
        <w:rPr>
          <w:rFonts w:ascii="Times New Roman" w:hAnsi="Times New Roman" w:cs="Times New Roman"/>
          <w:i/>
          <w:sz w:val="24"/>
          <w:lang w:val="en-US"/>
        </w:rPr>
        <w:t>Sustainable use of eucalypt biomass grown on short rotation coppice for bioenergy</w:t>
      </w:r>
      <w:r>
        <w:rPr>
          <w:rFonts w:ascii="Times New Roman" w:hAnsi="Times New Roman" w:cs="Times New Roman"/>
          <w:sz w:val="24"/>
          <w:lang w:val="en-US"/>
        </w:rPr>
        <w:t>.</w:t>
      </w:r>
      <w:r w:rsidR="005D69F1">
        <w:rPr>
          <w:rFonts w:ascii="Times New Roman" w:hAnsi="Times New Roman" w:cs="Times New Roman"/>
          <w:sz w:val="24"/>
          <w:lang w:val="en-US"/>
        </w:rPr>
        <w:t xml:space="preserve"> </w:t>
      </w:r>
      <w:r w:rsidR="005D69F1">
        <w:rPr>
          <w:rFonts w:ascii="Times New Roman" w:hAnsi="Times New Roman" w:cs="Times New Roman"/>
          <w:sz w:val="24"/>
        </w:rPr>
        <w:t xml:space="preserve">Elsevier. </w:t>
      </w:r>
      <w:proofErr w:type="spellStart"/>
      <w:r w:rsidR="005D69F1" w:rsidRPr="005D69F1">
        <w:rPr>
          <w:rFonts w:ascii="Times New Roman" w:hAnsi="Times New Roman" w:cs="Times New Roman"/>
          <w:sz w:val="24"/>
        </w:rPr>
        <w:t>Biomass</w:t>
      </w:r>
      <w:proofErr w:type="spellEnd"/>
      <w:r w:rsidR="005D69F1" w:rsidRPr="005D69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69F1" w:rsidRPr="005D69F1">
        <w:rPr>
          <w:rFonts w:ascii="Times New Roman" w:hAnsi="Times New Roman" w:cs="Times New Roman"/>
          <w:sz w:val="24"/>
        </w:rPr>
        <w:t>and</w:t>
      </w:r>
      <w:proofErr w:type="spellEnd"/>
      <w:r w:rsidR="005D69F1" w:rsidRPr="005D69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69F1" w:rsidRPr="005D69F1">
        <w:rPr>
          <w:rFonts w:ascii="Times New Roman" w:hAnsi="Times New Roman" w:cs="Times New Roman"/>
          <w:sz w:val="24"/>
        </w:rPr>
        <w:t>Bioenergy</w:t>
      </w:r>
      <w:proofErr w:type="spellEnd"/>
      <w:r w:rsidR="005D69F1">
        <w:rPr>
          <w:rFonts w:ascii="Times New Roman" w:hAnsi="Times New Roman" w:cs="Times New Roman"/>
          <w:sz w:val="24"/>
        </w:rPr>
        <w:t>, v.</w:t>
      </w:r>
      <w:r w:rsidR="005D69F1" w:rsidRPr="005D69F1">
        <w:rPr>
          <w:rFonts w:ascii="Times New Roman" w:hAnsi="Times New Roman" w:cs="Times New Roman"/>
          <w:sz w:val="24"/>
        </w:rPr>
        <w:t xml:space="preserve"> 90</w:t>
      </w:r>
      <w:r w:rsidR="005D69F1">
        <w:rPr>
          <w:rFonts w:ascii="Times New Roman" w:hAnsi="Times New Roman" w:cs="Times New Roman"/>
          <w:sz w:val="24"/>
        </w:rPr>
        <w:t xml:space="preserve">, p. </w:t>
      </w:r>
      <w:r w:rsidR="005D69F1" w:rsidRPr="005D69F1">
        <w:rPr>
          <w:rFonts w:ascii="Times New Roman" w:hAnsi="Times New Roman" w:cs="Times New Roman"/>
          <w:sz w:val="24"/>
        </w:rPr>
        <w:t>15</w:t>
      </w:r>
      <w:r w:rsidR="005D69F1">
        <w:rPr>
          <w:rFonts w:ascii="Times New Roman" w:hAnsi="Times New Roman" w:cs="Times New Roman"/>
          <w:sz w:val="24"/>
        </w:rPr>
        <w:t>-</w:t>
      </w:r>
      <w:r w:rsidR="005D69F1" w:rsidRPr="005D69F1">
        <w:rPr>
          <w:rFonts w:ascii="Times New Roman" w:hAnsi="Times New Roman" w:cs="Times New Roman"/>
          <w:sz w:val="24"/>
        </w:rPr>
        <w:t>21</w:t>
      </w:r>
      <w:r w:rsidR="005D69F1">
        <w:rPr>
          <w:rFonts w:ascii="Times New Roman" w:hAnsi="Times New Roman" w:cs="Times New Roman"/>
          <w:sz w:val="24"/>
        </w:rPr>
        <w:t>, 2016.</w:t>
      </w:r>
      <w:r w:rsidR="005D69F1" w:rsidRPr="005D69F1">
        <w:rPr>
          <w:rFonts w:ascii="Times New Roman" w:hAnsi="Times New Roman" w:cs="Times New Roman"/>
          <w:sz w:val="24"/>
        </w:rPr>
        <w:t xml:space="preserve"> </w:t>
      </w:r>
    </w:p>
    <w:p w14:paraId="7AA9483E" w14:textId="77777777" w:rsidR="00331D3E" w:rsidRPr="005D69F1" w:rsidRDefault="00331D3E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B456D41" w14:textId="2BD26B6E" w:rsidR="002B4C5C" w:rsidRDefault="002B4C5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478AC">
        <w:rPr>
          <w:rFonts w:ascii="Times New Roman" w:hAnsi="Times New Roman" w:cs="Times New Roman"/>
          <w:sz w:val="24"/>
        </w:rPr>
        <w:t>1</w:t>
      </w:r>
      <w:r w:rsidR="005D69F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] </w:t>
      </w:r>
      <w:r w:rsidRPr="002B4C5C">
        <w:rPr>
          <w:rFonts w:ascii="Times New Roman" w:hAnsi="Times New Roman" w:cs="Times New Roman"/>
          <w:sz w:val="24"/>
        </w:rPr>
        <w:t>CÁCERES</w:t>
      </w:r>
      <w:r w:rsidR="00712AA8">
        <w:rPr>
          <w:rFonts w:ascii="Times New Roman" w:hAnsi="Times New Roman" w:cs="Times New Roman"/>
          <w:sz w:val="24"/>
        </w:rPr>
        <w:t xml:space="preserve"> </w:t>
      </w:r>
      <w:r w:rsidR="00712AA8" w:rsidRPr="002B4C5C">
        <w:rPr>
          <w:rFonts w:ascii="Times New Roman" w:hAnsi="Times New Roman" w:cs="Times New Roman"/>
          <w:sz w:val="24"/>
        </w:rPr>
        <w:t>FLORESTAL</w:t>
      </w:r>
      <w:r w:rsidRPr="002B4C5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Manual do cultivo da teca </w:t>
      </w:r>
      <w:r w:rsidRPr="002B4C5C">
        <w:rPr>
          <w:rFonts w:ascii="Times New Roman" w:hAnsi="Times New Roman" w:cs="Times New Roman"/>
          <w:sz w:val="24"/>
        </w:rPr>
        <w:t xml:space="preserve">2006. </w:t>
      </w:r>
      <w:r>
        <w:rPr>
          <w:rFonts w:ascii="Times New Roman" w:hAnsi="Times New Roman" w:cs="Times New Roman"/>
          <w:sz w:val="24"/>
        </w:rPr>
        <w:t>16p.</w:t>
      </w:r>
    </w:p>
    <w:p w14:paraId="417D44D5" w14:textId="77777777" w:rsidR="002B4C5C" w:rsidRDefault="002B4C5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DC680A2" w14:textId="491D9481" w:rsidR="002B4C5C" w:rsidRDefault="002B4C5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478AC">
        <w:rPr>
          <w:rFonts w:ascii="Times New Roman" w:hAnsi="Times New Roman" w:cs="Times New Roman"/>
          <w:sz w:val="24"/>
        </w:rPr>
        <w:t>1</w:t>
      </w:r>
      <w:r w:rsidR="005D69F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] </w:t>
      </w:r>
      <w:r w:rsidRPr="002B4C5C">
        <w:rPr>
          <w:rFonts w:ascii="Times New Roman" w:hAnsi="Times New Roman" w:cs="Times New Roman"/>
          <w:sz w:val="24"/>
        </w:rPr>
        <w:t xml:space="preserve">TONINI, H.; COSTA, M. C. G.; SCWENGBER, L. A. M. </w:t>
      </w:r>
      <w:r w:rsidRPr="002B4C5C">
        <w:rPr>
          <w:rFonts w:ascii="Times New Roman" w:hAnsi="Times New Roman" w:cs="Times New Roman"/>
          <w:i/>
          <w:sz w:val="24"/>
        </w:rPr>
        <w:t>Crescimento de Teca (Tectona grandis) em reflorestamento na Amazônia Setentrional.</w:t>
      </w:r>
      <w:r w:rsidRPr="002B4C5C">
        <w:rPr>
          <w:rFonts w:ascii="Times New Roman" w:hAnsi="Times New Roman" w:cs="Times New Roman"/>
          <w:sz w:val="24"/>
        </w:rPr>
        <w:t xml:space="preserve"> Pesquisa Florestal Brasileira, Colombo, v. 4, n. 59, p. 5-14, 2009.</w:t>
      </w:r>
    </w:p>
    <w:p w14:paraId="4341BE36" w14:textId="77777777" w:rsidR="002B4C5C" w:rsidRDefault="002B4C5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C2B0518" w14:textId="12CE21F1" w:rsidR="002B4C5C" w:rsidRDefault="002B4C5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5D69F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] SCANAVACA JUNIOR, L.; GARCIA, J. N. </w:t>
      </w:r>
      <w:r w:rsidRPr="002B4C5C">
        <w:rPr>
          <w:rFonts w:ascii="Times New Roman" w:hAnsi="Times New Roman" w:cs="Times New Roman"/>
          <w:i/>
          <w:sz w:val="24"/>
        </w:rPr>
        <w:t>Densidade básica da madeira de eucalipto.</w:t>
      </w:r>
      <w:r>
        <w:rPr>
          <w:rFonts w:ascii="Times New Roman" w:hAnsi="Times New Roman" w:cs="Times New Roman"/>
          <w:sz w:val="24"/>
        </w:rPr>
        <w:t xml:space="preserve"> Embrapa 2017</w:t>
      </w:r>
    </w:p>
    <w:p w14:paraId="296F3DA4" w14:textId="77777777" w:rsidR="002B4C5C" w:rsidRDefault="002B4C5C" w:rsidP="005D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B9C80D7" w14:textId="76D6E0EE" w:rsidR="002B4C5C" w:rsidRDefault="002B4C5C" w:rsidP="005D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6C18">
        <w:rPr>
          <w:rFonts w:ascii="Times New Roman" w:hAnsi="Times New Roman" w:cs="Times New Roman"/>
          <w:sz w:val="24"/>
        </w:rPr>
        <w:t>[</w:t>
      </w:r>
      <w:r w:rsidR="00375F79" w:rsidRPr="00F66C18">
        <w:rPr>
          <w:rFonts w:ascii="Times New Roman" w:hAnsi="Times New Roman" w:cs="Times New Roman"/>
          <w:sz w:val="24"/>
        </w:rPr>
        <w:t>2</w:t>
      </w:r>
      <w:r w:rsidR="005D69F1" w:rsidRPr="00F66C18">
        <w:rPr>
          <w:rFonts w:ascii="Times New Roman" w:hAnsi="Times New Roman" w:cs="Times New Roman"/>
          <w:sz w:val="24"/>
        </w:rPr>
        <w:t>1</w:t>
      </w:r>
      <w:r w:rsidRPr="00F66C18">
        <w:rPr>
          <w:rFonts w:ascii="Times New Roman" w:hAnsi="Times New Roman" w:cs="Times New Roman"/>
          <w:sz w:val="24"/>
        </w:rPr>
        <w:t xml:space="preserve">] VITAL, B.R. et al. </w:t>
      </w:r>
      <w:r w:rsidRPr="002B4C5C">
        <w:rPr>
          <w:rFonts w:ascii="Times New Roman" w:hAnsi="Times New Roman" w:cs="Times New Roman"/>
          <w:i/>
          <w:sz w:val="24"/>
        </w:rPr>
        <w:t>Poder calorífico superior da madeira de Tectona grandis em função da idade e das condições edáficas.</w:t>
      </w:r>
      <w:r w:rsidRPr="00B929D2">
        <w:rPr>
          <w:rFonts w:ascii="Times New Roman" w:hAnsi="Times New Roman" w:cs="Times New Roman"/>
          <w:sz w:val="24"/>
        </w:rPr>
        <w:t xml:space="preserve"> XII</w:t>
      </w:r>
      <w:r>
        <w:rPr>
          <w:rFonts w:ascii="Times New Roman" w:hAnsi="Times New Roman" w:cs="Times New Roman"/>
          <w:sz w:val="24"/>
        </w:rPr>
        <w:t xml:space="preserve"> </w:t>
      </w:r>
      <w:r w:rsidR="00F821B1">
        <w:rPr>
          <w:rFonts w:ascii="Times New Roman" w:hAnsi="Times New Roman" w:cs="Times New Roman"/>
          <w:sz w:val="24"/>
        </w:rPr>
        <w:t>EBRAMEM</w:t>
      </w:r>
      <w:r w:rsidRPr="00B929D2">
        <w:rPr>
          <w:rFonts w:ascii="Times New Roman" w:hAnsi="Times New Roman" w:cs="Times New Roman"/>
          <w:sz w:val="24"/>
        </w:rPr>
        <w:t>. Anais. Lavras-MG. 2010.</w:t>
      </w:r>
    </w:p>
    <w:p w14:paraId="2E077DCA" w14:textId="77777777" w:rsidR="00C47C6E" w:rsidRDefault="00C47C6E" w:rsidP="005D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7071855F" w14:textId="6388CACB" w:rsidR="00C47C6E" w:rsidRDefault="00C47C6E" w:rsidP="005D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375F79">
        <w:rPr>
          <w:rFonts w:ascii="Times New Roman" w:hAnsi="Times New Roman" w:cs="Times New Roman"/>
          <w:sz w:val="24"/>
        </w:rPr>
        <w:t>2</w:t>
      </w:r>
      <w:r w:rsidR="005D69F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] </w:t>
      </w:r>
      <w:r w:rsidRPr="00C47C6E">
        <w:rPr>
          <w:rFonts w:ascii="Times New Roman" w:hAnsi="Times New Roman" w:cs="Times New Roman"/>
          <w:sz w:val="24"/>
        </w:rPr>
        <w:t>FLÓREZ, J</w:t>
      </w:r>
      <w:r>
        <w:rPr>
          <w:rFonts w:ascii="Times New Roman" w:hAnsi="Times New Roman" w:cs="Times New Roman"/>
          <w:sz w:val="24"/>
        </w:rPr>
        <w:t>.</w:t>
      </w:r>
      <w:r w:rsidRPr="00C47C6E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>.</w:t>
      </w:r>
      <w:r w:rsidRPr="00C47C6E">
        <w:rPr>
          <w:rFonts w:ascii="Times New Roman" w:hAnsi="Times New Roman" w:cs="Times New Roman"/>
          <w:sz w:val="24"/>
        </w:rPr>
        <w:t xml:space="preserve"> </w:t>
      </w:r>
      <w:r w:rsidRPr="00C47C6E">
        <w:rPr>
          <w:rFonts w:ascii="Times New Roman" w:hAnsi="Times New Roman" w:cs="Times New Roman"/>
          <w:i/>
          <w:sz w:val="24"/>
        </w:rPr>
        <w:t>Caracterização tecnológica da madeira jovem de teca (</w:t>
      </w:r>
      <w:proofErr w:type="spellStart"/>
      <w:r w:rsidRPr="00C47C6E">
        <w:rPr>
          <w:rFonts w:ascii="Times New Roman" w:hAnsi="Times New Roman" w:cs="Times New Roman"/>
          <w:i/>
          <w:sz w:val="24"/>
        </w:rPr>
        <w:t>Tectona</w:t>
      </w:r>
      <w:proofErr w:type="spellEnd"/>
      <w:r w:rsidRPr="00C47C6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47C6E">
        <w:rPr>
          <w:rFonts w:ascii="Times New Roman" w:hAnsi="Times New Roman" w:cs="Times New Roman"/>
          <w:i/>
          <w:sz w:val="24"/>
        </w:rPr>
        <w:t>grandis</w:t>
      </w:r>
      <w:proofErr w:type="spellEnd"/>
      <w:r w:rsidRPr="00C47C6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47C6E">
        <w:rPr>
          <w:rFonts w:ascii="Times New Roman" w:hAnsi="Times New Roman" w:cs="Times New Roman"/>
          <w:i/>
          <w:sz w:val="24"/>
        </w:rPr>
        <w:t>Lf</w:t>
      </w:r>
      <w:proofErr w:type="spellEnd"/>
      <w:r w:rsidRPr="00C47C6E">
        <w:rPr>
          <w:rFonts w:ascii="Times New Roman" w:hAnsi="Times New Roman" w:cs="Times New Roman"/>
          <w:i/>
          <w:sz w:val="24"/>
        </w:rPr>
        <w:t>).</w:t>
      </w:r>
      <w:r w:rsidRPr="00C47C6E">
        <w:rPr>
          <w:rFonts w:ascii="Times New Roman" w:hAnsi="Times New Roman" w:cs="Times New Roman"/>
          <w:sz w:val="24"/>
        </w:rPr>
        <w:t> </w:t>
      </w:r>
      <w:proofErr w:type="spellStart"/>
      <w:r>
        <w:rPr>
          <w:rFonts w:ascii="Times New Roman" w:hAnsi="Times New Roman" w:cs="Times New Roman"/>
          <w:sz w:val="24"/>
        </w:rPr>
        <w:t>Disertação</w:t>
      </w:r>
      <w:proofErr w:type="spellEnd"/>
      <w:r>
        <w:rPr>
          <w:rFonts w:ascii="Times New Roman" w:hAnsi="Times New Roman" w:cs="Times New Roman"/>
          <w:sz w:val="24"/>
        </w:rPr>
        <w:t xml:space="preserve"> para título de </w:t>
      </w:r>
      <w:r w:rsidRPr="00C47C6E">
        <w:rPr>
          <w:rFonts w:ascii="Times New Roman" w:hAnsi="Times New Roman" w:cs="Times New Roman"/>
          <w:sz w:val="24"/>
        </w:rPr>
        <w:t>Mestrado em c</w:t>
      </w:r>
      <w:r>
        <w:rPr>
          <w:rFonts w:ascii="Times New Roman" w:hAnsi="Times New Roman" w:cs="Times New Roman"/>
          <w:sz w:val="24"/>
        </w:rPr>
        <w:t>iência e tecnologia da madeira.</w:t>
      </w:r>
      <w:r w:rsidR="00F821B1">
        <w:rPr>
          <w:rFonts w:ascii="Times New Roman" w:hAnsi="Times New Roman" w:cs="Times New Roman"/>
          <w:sz w:val="24"/>
        </w:rPr>
        <w:t xml:space="preserve"> UFLA</w:t>
      </w:r>
      <w:r w:rsidRPr="00C47C6E">
        <w:rPr>
          <w:rFonts w:ascii="Times New Roman" w:hAnsi="Times New Roman" w:cs="Times New Roman"/>
          <w:sz w:val="24"/>
        </w:rPr>
        <w:t>, 2012.</w:t>
      </w:r>
    </w:p>
    <w:p w14:paraId="4E16894B" w14:textId="77777777" w:rsidR="00C47C6E" w:rsidRDefault="00C47C6E" w:rsidP="005D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93A9C89" w14:textId="4CF03FEA" w:rsidR="003F0472" w:rsidRPr="00E61425" w:rsidRDefault="00C47C6E" w:rsidP="00E61425">
      <w:pPr>
        <w:pStyle w:val="ABNT-19"/>
        <w:spacing w:line="240" w:lineRule="auto"/>
        <w:ind w:firstLine="567"/>
        <w:rPr>
          <w:szCs w:val="22"/>
        </w:rPr>
      </w:pPr>
      <w:r w:rsidRPr="00C47C6E">
        <w:rPr>
          <w:szCs w:val="22"/>
        </w:rPr>
        <w:t>[</w:t>
      </w:r>
      <w:r w:rsidR="00375F79" w:rsidRPr="00C47C6E">
        <w:rPr>
          <w:szCs w:val="22"/>
        </w:rPr>
        <w:t>2</w:t>
      </w:r>
      <w:r w:rsidR="005D69F1">
        <w:rPr>
          <w:szCs w:val="22"/>
        </w:rPr>
        <w:t>3</w:t>
      </w:r>
      <w:r w:rsidRPr="00C47C6E">
        <w:rPr>
          <w:szCs w:val="22"/>
        </w:rPr>
        <w:t xml:space="preserve">] RONDON, E. V. </w:t>
      </w:r>
      <w:r w:rsidRPr="00C47C6E">
        <w:rPr>
          <w:i/>
          <w:szCs w:val="22"/>
        </w:rPr>
        <w:t xml:space="preserve">Estudo de biomassa de </w:t>
      </w:r>
      <w:proofErr w:type="spellStart"/>
      <w:r w:rsidRPr="00C47C6E">
        <w:rPr>
          <w:i/>
          <w:szCs w:val="22"/>
        </w:rPr>
        <w:t>Tectona</w:t>
      </w:r>
      <w:proofErr w:type="spellEnd"/>
      <w:r w:rsidRPr="00C47C6E">
        <w:rPr>
          <w:i/>
          <w:szCs w:val="22"/>
        </w:rPr>
        <w:t xml:space="preserve"> </w:t>
      </w:r>
      <w:proofErr w:type="spellStart"/>
      <w:r w:rsidRPr="00C47C6E">
        <w:rPr>
          <w:i/>
          <w:szCs w:val="22"/>
        </w:rPr>
        <w:t>grandis</w:t>
      </w:r>
      <w:proofErr w:type="spellEnd"/>
      <w:r w:rsidRPr="00C47C6E">
        <w:rPr>
          <w:i/>
          <w:szCs w:val="22"/>
        </w:rPr>
        <w:t xml:space="preserve"> </w:t>
      </w:r>
      <w:proofErr w:type="spellStart"/>
      <w:r w:rsidRPr="00C47C6E">
        <w:rPr>
          <w:i/>
          <w:szCs w:val="22"/>
        </w:rPr>
        <w:t>Lf</w:t>
      </w:r>
      <w:proofErr w:type="spellEnd"/>
      <w:r w:rsidRPr="00C47C6E">
        <w:rPr>
          <w:i/>
          <w:szCs w:val="22"/>
        </w:rPr>
        <w:t xml:space="preserve"> sob diferentes espaçamentos no estado de Mato Grosso</w:t>
      </w:r>
      <w:r w:rsidRPr="00C47C6E">
        <w:rPr>
          <w:szCs w:val="22"/>
        </w:rPr>
        <w:t>. Revista Árvore, v. 30, n. 03, p. 337-341, 2006.</w:t>
      </w:r>
    </w:p>
    <w:sectPr w:rsidR="003F0472" w:rsidRPr="00E61425" w:rsidSect="00DC35B6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8D2C" w14:textId="77777777" w:rsidR="001B099C" w:rsidRDefault="001B099C" w:rsidP="00DC35B6">
      <w:pPr>
        <w:spacing w:after="0" w:line="240" w:lineRule="auto"/>
      </w:pPr>
      <w:r>
        <w:separator/>
      </w:r>
    </w:p>
  </w:endnote>
  <w:endnote w:type="continuationSeparator" w:id="0">
    <w:p w14:paraId="28D058AA" w14:textId="77777777" w:rsidR="001B099C" w:rsidRDefault="001B099C" w:rsidP="00D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8EF1" w14:textId="77777777" w:rsidR="00A10C11" w:rsidRPr="00DC35B6" w:rsidRDefault="00A10C11" w:rsidP="00DC35B6">
    <w:pPr>
      <w:pStyle w:val="Rodap"/>
      <w:jc w:val="center"/>
      <w:rPr>
        <w:rFonts w:ascii="Times New Roman" w:hAnsi="Times New Roman" w:cs="Times New Roman"/>
        <w:sz w:val="18"/>
      </w:rPr>
    </w:pPr>
    <w:r w:rsidRPr="00DC35B6">
      <w:rPr>
        <w:rFonts w:ascii="Times New Roman" w:hAnsi="Times New Roman" w:cs="Times New Roman"/>
        <w:sz w:val="18"/>
      </w:rPr>
      <w:t>Local: FIEP - Federação das Indústrias do Estado do Paraná.</w:t>
    </w:r>
  </w:p>
  <w:p w14:paraId="02C0B242" w14:textId="77777777" w:rsidR="00A10C11" w:rsidRPr="00DC35B6" w:rsidRDefault="00A10C11" w:rsidP="00DC35B6">
    <w:pPr>
      <w:pStyle w:val="Rodap"/>
      <w:jc w:val="center"/>
      <w:rPr>
        <w:rFonts w:ascii="Times New Roman" w:hAnsi="Times New Roman" w:cs="Times New Roman"/>
        <w:sz w:val="18"/>
      </w:rPr>
    </w:pPr>
    <w:r w:rsidRPr="00DC35B6">
      <w:rPr>
        <w:rFonts w:ascii="Times New Roman" w:hAnsi="Times New Roman" w:cs="Times New Roman"/>
        <w:sz w:val="18"/>
      </w:rPr>
      <w:t>Curitiba /PR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1FBA" w14:textId="77777777" w:rsidR="001B099C" w:rsidRDefault="001B099C" w:rsidP="00DC35B6">
      <w:pPr>
        <w:spacing w:after="0" w:line="240" w:lineRule="auto"/>
      </w:pPr>
      <w:r>
        <w:separator/>
      </w:r>
    </w:p>
  </w:footnote>
  <w:footnote w:type="continuationSeparator" w:id="0">
    <w:p w14:paraId="0865C6E2" w14:textId="77777777" w:rsidR="001B099C" w:rsidRDefault="001B099C" w:rsidP="00D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2BDC" w14:textId="77777777" w:rsidR="00A10C11" w:rsidRDefault="00A10C11">
    <w:pPr>
      <w:pStyle w:val="Cabealho"/>
    </w:pPr>
    <w:r>
      <w:rPr>
        <w:noProof/>
        <w:lang w:eastAsia="pt-BR"/>
      </w:rPr>
      <w:drawing>
        <wp:inline distT="0" distB="0" distL="0" distR="0" wp14:anchorId="627C5951" wp14:editId="577B5B2E">
          <wp:extent cx="5629275" cy="14097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275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01"/>
    <w:rsid w:val="00012934"/>
    <w:rsid w:val="000152A2"/>
    <w:rsid w:val="0001560E"/>
    <w:rsid w:val="00021D1C"/>
    <w:rsid w:val="000443B5"/>
    <w:rsid w:val="00095807"/>
    <w:rsid w:val="00097D88"/>
    <w:rsid w:val="000A135D"/>
    <w:rsid w:val="000B7D4A"/>
    <w:rsid w:val="000C1A6E"/>
    <w:rsid w:val="000D75F5"/>
    <w:rsid w:val="000E560F"/>
    <w:rsid w:val="000F3737"/>
    <w:rsid w:val="000F3E23"/>
    <w:rsid w:val="00110F71"/>
    <w:rsid w:val="00116EC4"/>
    <w:rsid w:val="001212BE"/>
    <w:rsid w:val="001243C9"/>
    <w:rsid w:val="001254CB"/>
    <w:rsid w:val="0013244D"/>
    <w:rsid w:val="00134551"/>
    <w:rsid w:val="00141BFB"/>
    <w:rsid w:val="001478AC"/>
    <w:rsid w:val="00161437"/>
    <w:rsid w:val="00196AAE"/>
    <w:rsid w:val="001A7B7B"/>
    <w:rsid w:val="001B099C"/>
    <w:rsid w:val="001E0A6B"/>
    <w:rsid w:val="001E1061"/>
    <w:rsid w:val="001E66F9"/>
    <w:rsid w:val="0022220A"/>
    <w:rsid w:val="00222777"/>
    <w:rsid w:val="00241218"/>
    <w:rsid w:val="00242019"/>
    <w:rsid w:val="00277A5A"/>
    <w:rsid w:val="00291FAE"/>
    <w:rsid w:val="002B4C5C"/>
    <w:rsid w:val="002C2856"/>
    <w:rsid w:val="002C356F"/>
    <w:rsid w:val="002D6FE3"/>
    <w:rsid w:val="003218B0"/>
    <w:rsid w:val="00331D3E"/>
    <w:rsid w:val="00336252"/>
    <w:rsid w:val="003450E1"/>
    <w:rsid w:val="003672FD"/>
    <w:rsid w:val="00375F79"/>
    <w:rsid w:val="003A5194"/>
    <w:rsid w:val="003B1FF9"/>
    <w:rsid w:val="003B3CE6"/>
    <w:rsid w:val="003F0472"/>
    <w:rsid w:val="003F10B1"/>
    <w:rsid w:val="003F18EB"/>
    <w:rsid w:val="00414A8B"/>
    <w:rsid w:val="004160C4"/>
    <w:rsid w:val="00420579"/>
    <w:rsid w:val="00443897"/>
    <w:rsid w:val="00464948"/>
    <w:rsid w:val="004716D1"/>
    <w:rsid w:val="004904E6"/>
    <w:rsid w:val="004906C6"/>
    <w:rsid w:val="004A0139"/>
    <w:rsid w:val="004B028D"/>
    <w:rsid w:val="004B2CB0"/>
    <w:rsid w:val="004D6B30"/>
    <w:rsid w:val="004D778B"/>
    <w:rsid w:val="004F5954"/>
    <w:rsid w:val="00503409"/>
    <w:rsid w:val="005069EA"/>
    <w:rsid w:val="0053550A"/>
    <w:rsid w:val="00550E61"/>
    <w:rsid w:val="0055105B"/>
    <w:rsid w:val="0055147D"/>
    <w:rsid w:val="00563FDC"/>
    <w:rsid w:val="005656A2"/>
    <w:rsid w:val="00585A7D"/>
    <w:rsid w:val="00591854"/>
    <w:rsid w:val="00595F4A"/>
    <w:rsid w:val="005A55D4"/>
    <w:rsid w:val="005B14FF"/>
    <w:rsid w:val="005C281E"/>
    <w:rsid w:val="005D3A69"/>
    <w:rsid w:val="005D69F1"/>
    <w:rsid w:val="005F49D8"/>
    <w:rsid w:val="00606900"/>
    <w:rsid w:val="00621041"/>
    <w:rsid w:val="00621B94"/>
    <w:rsid w:val="006223D9"/>
    <w:rsid w:val="006475E8"/>
    <w:rsid w:val="00652119"/>
    <w:rsid w:val="0065465F"/>
    <w:rsid w:val="00654DA9"/>
    <w:rsid w:val="00672307"/>
    <w:rsid w:val="00697E11"/>
    <w:rsid w:val="006B6A2D"/>
    <w:rsid w:val="006C1FC6"/>
    <w:rsid w:val="006C4E58"/>
    <w:rsid w:val="006E08C1"/>
    <w:rsid w:val="006E2092"/>
    <w:rsid w:val="006E765A"/>
    <w:rsid w:val="006F1048"/>
    <w:rsid w:val="006F3B1F"/>
    <w:rsid w:val="006F3C30"/>
    <w:rsid w:val="00712001"/>
    <w:rsid w:val="00712AA8"/>
    <w:rsid w:val="00720002"/>
    <w:rsid w:val="007260AC"/>
    <w:rsid w:val="00773ACF"/>
    <w:rsid w:val="007858B8"/>
    <w:rsid w:val="007937A7"/>
    <w:rsid w:val="007B5771"/>
    <w:rsid w:val="007B7174"/>
    <w:rsid w:val="007D56B3"/>
    <w:rsid w:val="007E2442"/>
    <w:rsid w:val="007E5907"/>
    <w:rsid w:val="007E6D15"/>
    <w:rsid w:val="007E7C6C"/>
    <w:rsid w:val="007F151C"/>
    <w:rsid w:val="007F1C0E"/>
    <w:rsid w:val="008155CC"/>
    <w:rsid w:val="00852EDE"/>
    <w:rsid w:val="00854F77"/>
    <w:rsid w:val="00874D26"/>
    <w:rsid w:val="00880E88"/>
    <w:rsid w:val="008A1CCC"/>
    <w:rsid w:val="008B3B5A"/>
    <w:rsid w:val="008D0FCF"/>
    <w:rsid w:val="008D3819"/>
    <w:rsid w:val="008D6C58"/>
    <w:rsid w:val="00905A96"/>
    <w:rsid w:val="00915607"/>
    <w:rsid w:val="00927F1E"/>
    <w:rsid w:val="00945AD9"/>
    <w:rsid w:val="00947E3F"/>
    <w:rsid w:val="00977BAF"/>
    <w:rsid w:val="009B3332"/>
    <w:rsid w:val="009B455D"/>
    <w:rsid w:val="009D39EC"/>
    <w:rsid w:val="009F708F"/>
    <w:rsid w:val="00A10C11"/>
    <w:rsid w:val="00A126B2"/>
    <w:rsid w:val="00A1599A"/>
    <w:rsid w:val="00A21825"/>
    <w:rsid w:val="00A30E38"/>
    <w:rsid w:val="00A328DE"/>
    <w:rsid w:val="00A51F6E"/>
    <w:rsid w:val="00A521A1"/>
    <w:rsid w:val="00A57447"/>
    <w:rsid w:val="00A71891"/>
    <w:rsid w:val="00A82D4D"/>
    <w:rsid w:val="00A87CB3"/>
    <w:rsid w:val="00AA27E7"/>
    <w:rsid w:val="00AA60E7"/>
    <w:rsid w:val="00AD1D47"/>
    <w:rsid w:val="00AD5CFE"/>
    <w:rsid w:val="00AD6DFF"/>
    <w:rsid w:val="00AD7AE9"/>
    <w:rsid w:val="00AE5CBA"/>
    <w:rsid w:val="00AF6160"/>
    <w:rsid w:val="00B17BD2"/>
    <w:rsid w:val="00B40706"/>
    <w:rsid w:val="00B633CA"/>
    <w:rsid w:val="00B7424D"/>
    <w:rsid w:val="00B83B83"/>
    <w:rsid w:val="00B91060"/>
    <w:rsid w:val="00B929D2"/>
    <w:rsid w:val="00BB4606"/>
    <w:rsid w:val="00BB75C2"/>
    <w:rsid w:val="00BF3D5A"/>
    <w:rsid w:val="00BF6A24"/>
    <w:rsid w:val="00C07E5D"/>
    <w:rsid w:val="00C243F9"/>
    <w:rsid w:val="00C4125D"/>
    <w:rsid w:val="00C47C6E"/>
    <w:rsid w:val="00C556D4"/>
    <w:rsid w:val="00C73985"/>
    <w:rsid w:val="00C75394"/>
    <w:rsid w:val="00C97BFE"/>
    <w:rsid w:val="00CB4A7D"/>
    <w:rsid w:val="00CB6561"/>
    <w:rsid w:val="00CC7323"/>
    <w:rsid w:val="00CD4AAD"/>
    <w:rsid w:val="00CD6E7B"/>
    <w:rsid w:val="00CE1BB1"/>
    <w:rsid w:val="00D21BE4"/>
    <w:rsid w:val="00D56279"/>
    <w:rsid w:val="00D76C57"/>
    <w:rsid w:val="00DA03BD"/>
    <w:rsid w:val="00DA2145"/>
    <w:rsid w:val="00DC0292"/>
    <w:rsid w:val="00DC1698"/>
    <w:rsid w:val="00DC35B6"/>
    <w:rsid w:val="00DE4DED"/>
    <w:rsid w:val="00E17558"/>
    <w:rsid w:val="00E60CDA"/>
    <w:rsid w:val="00E61425"/>
    <w:rsid w:val="00E62E80"/>
    <w:rsid w:val="00E9003F"/>
    <w:rsid w:val="00E963E5"/>
    <w:rsid w:val="00EA2EA3"/>
    <w:rsid w:val="00EA7C59"/>
    <w:rsid w:val="00EC64FC"/>
    <w:rsid w:val="00ED66F9"/>
    <w:rsid w:val="00EE0EA9"/>
    <w:rsid w:val="00EE65A5"/>
    <w:rsid w:val="00F17D10"/>
    <w:rsid w:val="00F2080E"/>
    <w:rsid w:val="00F243ED"/>
    <w:rsid w:val="00F462F0"/>
    <w:rsid w:val="00F66C18"/>
    <w:rsid w:val="00F70355"/>
    <w:rsid w:val="00F70E4D"/>
    <w:rsid w:val="00F74E1C"/>
    <w:rsid w:val="00F7759B"/>
    <w:rsid w:val="00F821B1"/>
    <w:rsid w:val="00F93161"/>
    <w:rsid w:val="00F97971"/>
    <w:rsid w:val="00F97ACF"/>
    <w:rsid w:val="00FB7E8F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B432"/>
  <w15:chartTrackingRefBased/>
  <w15:docId w15:val="{29E1A710-0E79-4266-92B5-70F5D630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5B6"/>
  </w:style>
  <w:style w:type="paragraph" w:styleId="Rodap">
    <w:name w:val="footer"/>
    <w:basedOn w:val="Normal"/>
    <w:link w:val="RodapChar"/>
    <w:uiPriority w:val="99"/>
    <w:unhideWhenUsed/>
    <w:rsid w:val="00DC3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5B6"/>
  </w:style>
  <w:style w:type="character" w:styleId="Hyperlink">
    <w:name w:val="Hyperlink"/>
    <w:basedOn w:val="Fontepargpadro"/>
    <w:uiPriority w:val="99"/>
    <w:unhideWhenUsed/>
    <w:rsid w:val="00F2080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4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558"/>
    <w:rPr>
      <w:color w:val="808080"/>
    </w:rPr>
  </w:style>
  <w:style w:type="paragraph" w:customStyle="1" w:styleId="ABNT-19">
    <w:name w:val="ABNT - 19"/>
    <w:basedOn w:val="Normal"/>
    <w:link w:val="ABNT-19Char"/>
    <w:qFormat/>
    <w:rsid w:val="00C47C6E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NT-19Char">
    <w:name w:val="ABNT - 19 Char"/>
    <w:basedOn w:val="Fontepargpadro"/>
    <w:link w:val="ABNT-19"/>
    <w:rsid w:val="00C47C6E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13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13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13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1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13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&#227;o%20Marcos\Desktop\LABB%20%5b2020%5d\CIBIO%20(2020)\Dados\inventario%20pre%20desbas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73655475557781"/>
          <c:y val="0.14136575033383986"/>
          <c:w val="0.76964445457233421"/>
          <c:h val="0.5532157603106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Plan3!$P$7:$P$14</c:f>
              <c:numCache>
                <c:formatCode>General</c:formatCode>
                <c:ptCount val="8"/>
                <c:pt idx="0">
                  <c:v>7.4600000000000009</c:v>
                </c:pt>
                <c:pt idx="1">
                  <c:v>10.48</c:v>
                </c:pt>
                <c:pt idx="2">
                  <c:v>13.5</c:v>
                </c:pt>
                <c:pt idx="3">
                  <c:v>16.52</c:v>
                </c:pt>
                <c:pt idx="4">
                  <c:v>19.54</c:v>
                </c:pt>
                <c:pt idx="5">
                  <c:v>22.560000000000002</c:v>
                </c:pt>
                <c:pt idx="6">
                  <c:v>25.58</c:v>
                </c:pt>
                <c:pt idx="7">
                  <c:v>28.6</c:v>
                </c:pt>
              </c:numCache>
            </c:numRef>
          </c:cat>
          <c:val>
            <c:numRef>
              <c:f>Plan3!$L$7:$L$14</c:f>
              <c:numCache>
                <c:formatCode>General</c:formatCode>
                <c:ptCount val="8"/>
                <c:pt idx="0">
                  <c:v>69.767441860465127</c:v>
                </c:pt>
                <c:pt idx="1">
                  <c:v>279.06976744186051</c:v>
                </c:pt>
                <c:pt idx="2">
                  <c:v>465.11627906976747</c:v>
                </c:pt>
                <c:pt idx="3">
                  <c:v>465.11627906976747</c:v>
                </c:pt>
                <c:pt idx="4">
                  <c:v>162.79069767441862</c:v>
                </c:pt>
                <c:pt idx="5">
                  <c:v>93.023255813953497</c:v>
                </c:pt>
                <c:pt idx="6">
                  <c:v>69.767441860465127</c:v>
                </c:pt>
                <c:pt idx="7">
                  <c:v>46.511627906976749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8-424E-AC09-0C945AB59C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-3"/>
        <c:axId val="184985800"/>
        <c:axId val="184986976"/>
      </c:barChart>
      <c:catAx>
        <c:axId val="184985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Centro de classe (cm)</a:t>
                </a:r>
              </a:p>
            </c:rich>
          </c:tx>
          <c:layout>
            <c:manualLayout>
              <c:xMode val="edge"/>
              <c:yMode val="edge"/>
              <c:x val="0.30683048737539714"/>
              <c:y val="0.862931933508311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84986976"/>
        <c:crosses val="autoZero"/>
        <c:auto val="1"/>
        <c:lblAlgn val="ctr"/>
        <c:lblOffset val="100"/>
        <c:noMultiLvlLbl val="0"/>
      </c:catAx>
      <c:valAx>
        <c:axId val="184986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baseline="0"/>
                  <a:t> N</a:t>
                </a:r>
                <a:r>
                  <a:rPr lang="pt-BR" baseline="30000"/>
                  <a:t>o</a:t>
                </a:r>
                <a:r>
                  <a:rPr lang="pt-BR" baseline="0"/>
                  <a:t> </a:t>
                </a:r>
                <a:r>
                  <a:rPr lang="pt-BR"/>
                  <a:t>árvores ha</a:t>
                </a:r>
                <a:r>
                  <a:rPr lang="pt-BR" baseline="30000"/>
                  <a:t>-1</a:t>
                </a:r>
              </a:p>
            </c:rich>
          </c:tx>
          <c:layout>
            <c:manualLayout>
              <c:xMode val="edge"/>
              <c:yMode val="edge"/>
              <c:x val="0"/>
              <c:y val="4.816237970253717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84985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2450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2020-09-18T11:39:00Z</dcterms:created>
  <dcterms:modified xsi:type="dcterms:W3CDTF">2020-10-21T12:57:00Z</dcterms:modified>
</cp:coreProperties>
</file>