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7A3F" w14:textId="3B2F80FC" w:rsidR="00FC2CE0" w:rsidRDefault="00FC2CE0" w:rsidP="00444EEA">
      <w:pPr>
        <w:jc w:val="center"/>
        <w:rPr>
          <w:b/>
        </w:rPr>
      </w:pPr>
      <w:r>
        <w:rPr>
          <w:b/>
        </w:rPr>
        <w:t xml:space="preserve">A </w:t>
      </w:r>
      <w:r w:rsidR="00C42F47">
        <w:rPr>
          <w:b/>
        </w:rPr>
        <w:t>INSERÇÃO DO AGRONEGÓCIO BRASILEIRO NO</w:t>
      </w:r>
      <w:r>
        <w:rPr>
          <w:b/>
        </w:rPr>
        <w:t xml:space="preserve"> MERCOSUL</w:t>
      </w:r>
    </w:p>
    <w:p w14:paraId="44165A65" w14:textId="77777777" w:rsidR="00444EEA" w:rsidRDefault="00444EEA" w:rsidP="00444EEA">
      <w:pPr>
        <w:jc w:val="center"/>
        <w:rPr>
          <w:b/>
        </w:rPr>
      </w:pPr>
    </w:p>
    <w:p w14:paraId="397FB540" w14:textId="3CAA7325" w:rsidR="00B66F09" w:rsidRDefault="00FC2CE0" w:rsidP="00B66F09">
      <w:pPr>
        <w:pStyle w:val="x-scope"/>
        <w:spacing w:before="0" w:beforeAutospacing="0" w:after="0" w:afterAutospacing="0"/>
        <w:jc w:val="right"/>
        <w:rPr>
          <w:rStyle w:val="Hyperlink"/>
        </w:rPr>
      </w:pPr>
      <w:r>
        <w:rPr>
          <w:rStyle w:val="qowt-font2-timesnewroman"/>
        </w:rPr>
        <w:t>Rafael Bernardo Silveira</w:t>
      </w:r>
      <w:r w:rsidR="00444EEA">
        <w:rPr>
          <w:rStyle w:val="Refdenotaderodap"/>
        </w:rPr>
        <w:footnoteReference w:id="1"/>
      </w:r>
      <w:r>
        <w:rPr>
          <w:rStyle w:val="qowt-font2-timesnewroman"/>
        </w:rPr>
        <w:t>, IFC,</w:t>
      </w:r>
      <w:r w:rsidR="00C42F47">
        <w:rPr>
          <w:rStyle w:val="qowt-font2-timesnewroman"/>
        </w:rPr>
        <w:t xml:space="preserve"> UFSC,</w:t>
      </w:r>
      <w:r>
        <w:rPr>
          <w:rStyle w:val="qowt-font2-timesnewroman"/>
        </w:rPr>
        <w:t xml:space="preserve"> </w:t>
      </w:r>
      <w:hyperlink r:id="rId8" w:history="1">
        <w:r w:rsidRPr="00525D85">
          <w:rPr>
            <w:rStyle w:val="Hyperlink"/>
          </w:rPr>
          <w:t>rafael.silveira@ifc.edu.br</w:t>
        </w:r>
      </w:hyperlink>
    </w:p>
    <w:p w14:paraId="72102562" w14:textId="77777777" w:rsidR="00B66F09" w:rsidRDefault="00B66F09" w:rsidP="00B66F09">
      <w:pPr>
        <w:pStyle w:val="x-scope"/>
        <w:spacing w:before="0" w:beforeAutospacing="0" w:after="0" w:afterAutospacing="0"/>
        <w:jc w:val="right"/>
      </w:pPr>
    </w:p>
    <w:p w14:paraId="14ADE4C3" w14:textId="2A8A03B3" w:rsidR="00694E11" w:rsidRDefault="00FC2CE0" w:rsidP="00FC2CE0">
      <w:pPr>
        <w:jc w:val="both"/>
      </w:pPr>
      <w:r>
        <w:t>Área Temática</w:t>
      </w:r>
      <w:r w:rsidR="00BD4FA6">
        <w:t>: Economia e política internacional</w:t>
      </w:r>
    </w:p>
    <w:p w14:paraId="23122D43" w14:textId="25DACAB0" w:rsidR="00D91BA6" w:rsidRPr="00D71656" w:rsidRDefault="00D91BA6" w:rsidP="00D91BA6">
      <w:pPr>
        <w:spacing w:before="100" w:beforeAutospacing="1" w:after="100" w:afterAutospacing="1"/>
        <w:jc w:val="both"/>
        <w:rPr>
          <w:rFonts w:eastAsia="Times New Roman"/>
          <w:b/>
          <w:bCs/>
          <w:color w:val="000000" w:themeColor="text1"/>
        </w:rPr>
      </w:pPr>
      <w:r w:rsidRPr="00D71656">
        <w:rPr>
          <w:rFonts w:eastAsia="Times New Roman"/>
          <w:b/>
          <w:bCs/>
          <w:color w:val="000000" w:themeColor="text1"/>
        </w:rPr>
        <w:t>INTRODUÇÃO</w:t>
      </w:r>
      <w:r w:rsidR="00D71656">
        <w:rPr>
          <w:rFonts w:eastAsia="Times New Roman"/>
          <w:b/>
          <w:bCs/>
          <w:color w:val="000000" w:themeColor="text1"/>
        </w:rPr>
        <w:t>:</w:t>
      </w:r>
    </w:p>
    <w:p w14:paraId="2CAEB9DA" w14:textId="68798130" w:rsidR="00D91BA6" w:rsidRDefault="00D91BA6" w:rsidP="00D91BA6">
      <w:pPr>
        <w:ind w:firstLine="709"/>
        <w:jc w:val="both"/>
        <w:rPr>
          <w:rFonts w:eastAsia="Times New Roman"/>
          <w:color w:val="000000" w:themeColor="text1"/>
        </w:rPr>
      </w:pPr>
      <w:r w:rsidRPr="00D91BA6">
        <w:rPr>
          <w:rFonts w:eastAsia="Times New Roman"/>
          <w:color w:val="000000" w:themeColor="text1"/>
        </w:rPr>
        <w:t>O Mercado Comum do Sul - Mercosul é um projeto de integração regional conformado inicialmente por Argentina, Brasil, Paraguai e Uruguai ao qual posteriormente se incorporaram a Venezuela e a Bolívia</w:t>
      </w:r>
      <w:r w:rsidR="00FC7A7B">
        <w:rPr>
          <w:rFonts w:eastAsia="Times New Roman"/>
          <w:color w:val="000000" w:themeColor="text1"/>
        </w:rPr>
        <w:t>.</w:t>
      </w:r>
    </w:p>
    <w:p w14:paraId="0A6463EE" w14:textId="2E663767" w:rsidR="00D91BA6" w:rsidRPr="00D91BA6" w:rsidRDefault="00D91BA6" w:rsidP="00D91BA6">
      <w:pPr>
        <w:ind w:firstLine="709"/>
        <w:jc w:val="both"/>
        <w:rPr>
          <w:rFonts w:eastAsia="Times New Roman"/>
          <w:color w:val="000000" w:themeColor="text1"/>
        </w:rPr>
      </w:pPr>
      <w:r w:rsidRPr="00D91BA6">
        <w:rPr>
          <w:rFonts w:eastAsia="Times New Roman"/>
          <w:color w:val="000000" w:themeColor="text1"/>
        </w:rPr>
        <w:t>Historicamente, tais nações possuem formações socioespaciais heterogêneas: população absoluta e composição étnica; posição espacial e acesso ou não aos oceanos Atlântico e Pacífico; relevo e riquezas minerais; assimetrias econômicas quantitativas e qualitativas; influência política regional e mundial, dentre outras. Apesar de tais diferenças, esse conjunto de nações buscou desde meados dos anos 1980 promover uma integração econômica, que a partir das mudanças de governos da região no início dos anos 2000, avançaria para um projeto de integração social e geopolítico mais amplo</w:t>
      </w:r>
      <w:r w:rsidR="00FC7A7B">
        <w:rPr>
          <w:rFonts w:eastAsia="Times New Roman"/>
          <w:color w:val="000000" w:themeColor="text1"/>
        </w:rPr>
        <w:t>.</w:t>
      </w:r>
    </w:p>
    <w:p w14:paraId="485A650C" w14:textId="77777777" w:rsidR="00D91BA6" w:rsidRPr="00D91BA6" w:rsidRDefault="00D91BA6" w:rsidP="00D91BA6">
      <w:pPr>
        <w:ind w:firstLine="709"/>
        <w:jc w:val="both"/>
        <w:rPr>
          <w:rFonts w:eastAsia="Times New Roman"/>
          <w:color w:val="000000" w:themeColor="text1"/>
        </w:rPr>
      </w:pPr>
      <w:r w:rsidRPr="00D91BA6">
        <w:rPr>
          <w:rFonts w:eastAsia="Times New Roman"/>
          <w:color w:val="000000" w:themeColor="text1"/>
        </w:rPr>
        <w:t>A institucionalização do Mercosul decorreu como aprofundamento do processo de integração entre Argentina e Brasil iniciado no ano de 1984 e que seria formalizado enquanto bloco por meio do Tratado para a Constituição de um Mercado Comum, ou apenas Tratado de Assunção, firmado em 1991.</w:t>
      </w:r>
    </w:p>
    <w:p w14:paraId="4EE3510E" w14:textId="0D5ADFDE" w:rsidR="00D91BA6" w:rsidRPr="00D91BA6" w:rsidRDefault="00D91BA6" w:rsidP="00D91BA6">
      <w:pPr>
        <w:ind w:firstLine="709"/>
        <w:jc w:val="both"/>
        <w:rPr>
          <w:rFonts w:eastAsia="Times New Roman"/>
          <w:color w:val="000000" w:themeColor="text1"/>
        </w:rPr>
      </w:pPr>
      <w:r w:rsidRPr="00D91BA6">
        <w:rPr>
          <w:rFonts w:eastAsia="Times New Roman"/>
          <w:color w:val="000000" w:themeColor="text1"/>
        </w:rPr>
        <w:t>A virada do século XX para XXI trouxe consigo a chegada ao poder dos presidentes Lula da Silva (Brasil) e Nestor Kirchner (Argentina), ambos empossados no ano 2003, o que promoveria uma viragem na linha política do bloco. Como uma das consequências, o processo de aprofundamento das relações do Mercosul e a busca por relações do sul-sul geopolítico levou a expansão e intensificação da integração do Mercosul, com a adesão de todos os demais países da América do Sul à condição de Estado associado</w:t>
      </w:r>
      <w:r w:rsidR="00FC7A7B">
        <w:rPr>
          <w:rFonts w:eastAsia="Times New Roman"/>
          <w:color w:val="000000" w:themeColor="text1"/>
        </w:rPr>
        <w:t>.</w:t>
      </w:r>
    </w:p>
    <w:p w14:paraId="5933BFE2" w14:textId="3E472AA0" w:rsidR="00D91BA6" w:rsidRPr="00D91BA6" w:rsidRDefault="00D91BA6" w:rsidP="00D91BA6">
      <w:pPr>
        <w:ind w:firstLine="709"/>
        <w:jc w:val="both"/>
        <w:rPr>
          <w:rFonts w:eastAsia="Times New Roman"/>
          <w:color w:val="000000" w:themeColor="text1"/>
        </w:rPr>
      </w:pPr>
      <w:r w:rsidRPr="00D91BA6">
        <w:rPr>
          <w:rFonts w:eastAsia="Times New Roman"/>
          <w:color w:val="000000" w:themeColor="text1"/>
        </w:rPr>
        <w:t>As mudanças estruturais aplicadas no bloco a partir do ano 2003 alterariam sobremaneira tantos as relações internas dos seus membros, como destes enquanto unidade de integração para com o restante do mundo.</w:t>
      </w:r>
      <w:r>
        <w:rPr>
          <w:rFonts w:eastAsia="Times New Roman"/>
          <w:color w:val="000000" w:themeColor="text1"/>
        </w:rPr>
        <w:t xml:space="preserve"> Tal ciclo se </w:t>
      </w:r>
      <w:r w:rsidRPr="00D91BA6">
        <w:rPr>
          <w:rFonts w:eastAsia="Times New Roman"/>
          <w:color w:val="000000" w:themeColor="text1"/>
        </w:rPr>
        <w:t>encerraria entre dezembro de 2015, com a posse de Maurício Macri na Argentina, e maio de 2016, com a o golpe que destituiria a presidenta brasileira Dilma Rousseff</w:t>
      </w:r>
      <w:r>
        <w:rPr>
          <w:rFonts w:eastAsia="Times New Roman"/>
          <w:color w:val="000000" w:themeColor="text1"/>
        </w:rPr>
        <w:t xml:space="preserve">, levando a um novo momento de estagnação e retrocessos no processo de integração econômico e </w:t>
      </w:r>
      <w:r w:rsidRPr="00B66F09">
        <w:rPr>
          <w:rFonts w:eastAsia="Times New Roman"/>
          <w:color w:val="000000" w:themeColor="text1"/>
        </w:rPr>
        <w:t>social</w:t>
      </w:r>
      <w:r w:rsidR="00AD4E12" w:rsidRPr="00B66F09">
        <w:rPr>
          <w:rFonts w:eastAsia="Times New Roman"/>
          <w:color w:val="000000" w:themeColor="text1"/>
        </w:rPr>
        <w:t xml:space="preserve"> (SILVEIRA, 2021)</w:t>
      </w:r>
      <w:r w:rsidRPr="00B66F09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 xml:space="preserve"> </w:t>
      </w:r>
      <w:r w:rsidR="00984820">
        <w:rPr>
          <w:rFonts w:eastAsia="Times New Roman"/>
          <w:color w:val="000000" w:themeColor="text1"/>
        </w:rPr>
        <w:t xml:space="preserve"> </w:t>
      </w:r>
    </w:p>
    <w:p w14:paraId="1C969532" w14:textId="45B1D871" w:rsidR="00AD4E12" w:rsidRPr="00AD4E12" w:rsidRDefault="0090176E" w:rsidP="00984820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A </w:t>
      </w:r>
      <w:r w:rsidR="00AD4E12" w:rsidRPr="00AD4E12">
        <w:rPr>
          <w:rFonts w:eastAsia="Times New Roman"/>
          <w:color w:val="000000" w:themeColor="text1"/>
        </w:rPr>
        <w:t>partir da segunda metade do século XX até os dias atuais, ocorreu um forte processo de reorganização e modernização das atividades agrícolas, visando o aumento da produtividade, elevando os índices de retorno do capital investido, a mecanização e utilização de defensivos e adubos de forma da minimizar os riscos de perdas de produção, a constante integração das atividades agrícolas com a indústria correlata, de forma a agregar valor a cadeia produtiva e mais recentemente um processo de concentração em grandes grupos produtivos, muitas vezes transnacionais, a busca por produtos de alta qualidade e o avanço da produção para novas áreas (antes inviáveis economicamente) ou seja, ocorreu um processo de inserir irremediavelmente a atividade agrícola dentro da lógica de produção e acumulação capitalista, pois, mesmo nos países centrais do sistema ainda era existe</w:t>
      </w:r>
      <w:r>
        <w:rPr>
          <w:rFonts w:eastAsia="Times New Roman"/>
          <w:color w:val="000000" w:themeColor="text1"/>
        </w:rPr>
        <w:t>nte</w:t>
      </w:r>
      <w:r w:rsidR="00AD4E12" w:rsidRPr="00AD4E12">
        <w:rPr>
          <w:rFonts w:eastAsia="Times New Roman"/>
          <w:color w:val="000000" w:themeColor="text1"/>
        </w:rPr>
        <w:t xml:space="preserve"> a produção através de outras dinâmicas político-econômicas. </w:t>
      </w:r>
    </w:p>
    <w:p w14:paraId="19C24544" w14:textId="683C7A54" w:rsidR="00AD4E12" w:rsidRPr="00D71656" w:rsidRDefault="00AD4E12" w:rsidP="00AD4E12">
      <w:pPr>
        <w:ind w:firstLine="709"/>
        <w:jc w:val="both"/>
        <w:rPr>
          <w:rFonts w:eastAsia="Times New Roman"/>
          <w:color w:val="000000" w:themeColor="text1"/>
        </w:rPr>
      </w:pPr>
      <w:r w:rsidRPr="00AD4E12">
        <w:rPr>
          <w:rFonts w:eastAsia="Times New Roman"/>
          <w:color w:val="000000" w:themeColor="text1"/>
        </w:rPr>
        <w:t>No Brasil tal processo também decorreu, seguindo essa nova formatação agrícola-capitalista, com forte tendência a especialização de determinados produtos com vista ao for</w:t>
      </w:r>
      <w:r w:rsidRPr="00AD4E12">
        <w:rPr>
          <w:rFonts w:eastAsia="Times New Roman"/>
          <w:color w:val="000000" w:themeColor="text1"/>
        </w:rPr>
        <w:lastRenderedPageBreak/>
        <w:t xml:space="preserve">necimento mundial em larga escala. Seguindo esse pensamento de entender as atividades agrícolas da contemporaneidade dentro da lógica do mundo capitalista, </w:t>
      </w:r>
      <w:r w:rsidRPr="000351A9">
        <w:rPr>
          <w:rFonts w:eastAsia="Times New Roman"/>
          <w:color w:val="000000" w:themeColor="text1"/>
        </w:rPr>
        <w:t>Gonçalves (2005)</w:t>
      </w:r>
      <w:r w:rsidRPr="00AD4E12">
        <w:rPr>
          <w:rFonts w:eastAsia="Times New Roman"/>
          <w:color w:val="000000" w:themeColor="text1"/>
        </w:rPr>
        <w:t xml:space="preserve"> observa que há que se romper com a leitura típica da reprodução simples do capital lastreada na sequência de produção de mercadorias (M) para transformar em dinheiro (D) e permitir a obtenção de mais mercadorias (M ́). Com as mudanças estruturais da agricultura brasileira é preciso ter claro que isso representou a irradiação, por todo espaço produtivo setorial, da lógica da reprodução ampliada do capital lastreada na ação tipicamente capitalista de aplicar dinheiro (D) na produção de mercadorias (M) com o objetivo de obter mais dinheiro (D ́). Essa nova condição é a única compatível com a ação de produção especializada em produtos e processos, o que por si só já implica numa interdependência do agente econômico com outras instâncias dos mercados. Mais ainda, cada vez mais o capital assume a sua condição de capital em geral, </w:t>
      </w:r>
      <w:r w:rsidRPr="00D71656">
        <w:rPr>
          <w:rFonts w:eastAsia="Times New Roman"/>
          <w:color w:val="000000" w:themeColor="text1"/>
        </w:rPr>
        <w:t>deixando submersas adjetivações, tais como: capital produtivo, capital agrário e capital industrial, para assumir a sua forma desenvolvida de capital financeiro.</w:t>
      </w:r>
    </w:p>
    <w:p w14:paraId="3881D477" w14:textId="0906D8EB" w:rsidR="00120EF4" w:rsidRDefault="00AD4E12" w:rsidP="00AD4E12">
      <w:pPr>
        <w:ind w:firstLine="709"/>
        <w:jc w:val="both"/>
        <w:rPr>
          <w:rFonts w:eastAsia="Times New Roman"/>
          <w:color w:val="000000" w:themeColor="text1"/>
        </w:rPr>
      </w:pPr>
      <w:r w:rsidRPr="00D71656">
        <w:rPr>
          <w:rFonts w:eastAsia="Times New Roman"/>
          <w:color w:val="000000" w:themeColor="text1"/>
        </w:rPr>
        <w:t xml:space="preserve">Dessa forma, o objetivo principal deste trabalho é identificar </w:t>
      </w:r>
      <w:r w:rsidR="001026B4" w:rsidRPr="00D71656">
        <w:rPr>
          <w:rFonts w:eastAsia="Times New Roman"/>
          <w:color w:val="000000" w:themeColor="text1"/>
        </w:rPr>
        <w:t>a abrangência de inserção do agronegócio brasileiro no Mercosul.</w:t>
      </w:r>
      <w:r w:rsidR="001026B4">
        <w:rPr>
          <w:rFonts w:eastAsia="Times New Roman"/>
          <w:color w:val="000000" w:themeColor="text1"/>
        </w:rPr>
        <w:t xml:space="preserve"> </w:t>
      </w:r>
    </w:p>
    <w:p w14:paraId="2A6BB277" w14:textId="77777777" w:rsidR="001026B4" w:rsidRDefault="001026B4" w:rsidP="00D71656">
      <w:pPr>
        <w:jc w:val="both"/>
        <w:rPr>
          <w:rFonts w:eastAsia="Times New Roman"/>
          <w:color w:val="000000" w:themeColor="text1"/>
        </w:rPr>
      </w:pPr>
    </w:p>
    <w:p w14:paraId="33CE68B5" w14:textId="0C5B4E62" w:rsidR="00120EF4" w:rsidRPr="00D71656" w:rsidRDefault="00120EF4" w:rsidP="00120EF4">
      <w:pPr>
        <w:jc w:val="both"/>
        <w:rPr>
          <w:rFonts w:eastAsia="Times New Roman"/>
          <w:b/>
          <w:bCs/>
          <w:color w:val="000000" w:themeColor="text1"/>
        </w:rPr>
      </w:pPr>
      <w:r w:rsidRPr="00D71656">
        <w:rPr>
          <w:rFonts w:eastAsia="Times New Roman"/>
          <w:b/>
          <w:bCs/>
          <w:color w:val="000000" w:themeColor="text1"/>
        </w:rPr>
        <w:t>METODOLOGIA</w:t>
      </w:r>
      <w:r w:rsidR="00D71656">
        <w:rPr>
          <w:rFonts w:eastAsia="Times New Roman"/>
          <w:b/>
          <w:bCs/>
          <w:color w:val="000000" w:themeColor="text1"/>
        </w:rPr>
        <w:t>:</w:t>
      </w:r>
    </w:p>
    <w:p w14:paraId="65A55D7C" w14:textId="77777777" w:rsidR="00120EF4" w:rsidRPr="00120EF4" w:rsidRDefault="00120EF4" w:rsidP="00120EF4">
      <w:pPr>
        <w:jc w:val="both"/>
        <w:rPr>
          <w:rFonts w:eastAsia="Times New Roman"/>
          <w:color w:val="000000" w:themeColor="text1"/>
        </w:rPr>
      </w:pPr>
    </w:p>
    <w:p w14:paraId="65C8150A" w14:textId="7CB93F91" w:rsidR="00120EF4" w:rsidRDefault="00120EF4" w:rsidP="00B66F09">
      <w:pPr>
        <w:ind w:firstLine="709"/>
        <w:jc w:val="both"/>
        <w:rPr>
          <w:rFonts w:eastAsia="Times New Roman"/>
          <w:color w:val="000000" w:themeColor="text1"/>
        </w:rPr>
      </w:pPr>
      <w:r w:rsidRPr="00120EF4">
        <w:rPr>
          <w:rFonts w:eastAsia="Times New Roman"/>
          <w:color w:val="000000" w:themeColor="text1"/>
        </w:rPr>
        <w:t>O desenvolvimento dest</w:t>
      </w:r>
      <w:r>
        <w:rPr>
          <w:rFonts w:eastAsia="Times New Roman"/>
          <w:color w:val="000000" w:themeColor="text1"/>
        </w:rPr>
        <w:t xml:space="preserve">a pesquisa </w:t>
      </w:r>
      <w:r w:rsidRPr="00120EF4">
        <w:rPr>
          <w:rFonts w:eastAsia="Times New Roman"/>
          <w:color w:val="000000" w:themeColor="text1"/>
        </w:rPr>
        <w:t>decorreu através de trabalho teórico, utilizando- se dos procedimentos de investigação de pesquisa documental e pesquisa bibliográfica</w:t>
      </w:r>
      <w:r w:rsidR="00B66F09">
        <w:rPr>
          <w:rFonts w:eastAsia="Times New Roman"/>
          <w:color w:val="000000" w:themeColor="text1"/>
        </w:rPr>
        <w:t xml:space="preserve">. </w:t>
      </w:r>
      <w:r w:rsidRPr="00120EF4">
        <w:rPr>
          <w:rFonts w:eastAsia="Times New Roman"/>
          <w:color w:val="000000" w:themeColor="text1"/>
        </w:rPr>
        <w:t>Assim, quanto aos procedimentos adotados, o trabalho se caracteriza como uma pesquisa bibliográfica e documental. Realizada a recolha das informações, o material foi tratado seguindo a sequência: contextualização das variadas fontes – análise do material captado – síntese– considerações do autor.</w:t>
      </w:r>
    </w:p>
    <w:p w14:paraId="3868B9FA" w14:textId="24B36B49" w:rsidR="00743A76" w:rsidRDefault="00743A76" w:rsidP="00743A76">
      <w:pPr>
        <w:jc w:val="both"/>
        <w:rPr>
          <w:rFonts w:eastAsia="Times New Roman"/>
          <w:color w:val="000000" w:themeColor="text1"/>
        </w:rPr>
      </w:pPr>
    </w:p>
    <w:p w14:paraId="1227A398" w14:textId="5E72DD1D" w:rsidR="00743A76" w:rsidRPr="00D71656" w:rsidRDefault="00743A76" w:rsidP="00743A76">
      <w:pPr>
        <w:jc w:val="both"/>
        <w:rPr>
          <w:rFonts w:eastAsia="Times New Roman"/>
          <w:b/>
          <w:bCs/>
          <w:color w:val="000000" w:themeColor="text1"/>
        </w:rPr>
      </w:pPr>
      <w:r w:rsidRPr="00D71656">
        <w:rPr>
          <w:rFonts w:eastAsia="Times New Roman"/>
          <w:b/>
          <w:bCs/>
          <w:color w:val="000000" w:themeColor="text1"/>
        </w:rPr>
        <w:t>RESULTADOS E DISCUSSÃO:</w:t>
      </w:r>
    </w:p>
    <w:p w14:paraId="76924F08" w14:textId="65EED7DF" w:rsidR="00D91BA6" w:rsidRDefault="00D91BA6" w:rsidP="00D71656">
      <w:pPr>
        <w:jc w:val="both"/>
        <w:rPr>
          <w:rFonts w:eastAsia="Times New Roman"/>
          <w:color w:val="000000" w:themeColor="text1"/>
        </w:rPr>
      </w:pPr>
    </w:p>
    <w:p w14:paraId="15CFA7BA" w14:textId="26C20A92" w:rsidR="00AF5028" w:rsidRPr="00D8754C" w:rsidRDefault="00AF5028" w:rsidP="00D8754C">
      <w:pPr>
        <w:ind w:firstLine="709"/>
        <w:jc w:val="both"/>
      </w:pPr>
      <w:r w:rsidRPr="00D8754C">
        <w:t xml:space="preserve">Relativamente ao processo integracional, o objetivo maior do Mercosul, como sua própria nomenclatura </w:t>
      </w:r>
      <w:r w:rsidR="00D71656">
        <w:t>explicita</w:t>
      </w:r>
      <w:r w:rsidRPr="00D8754C">
        <w:t xml:space="preserve">, é a formação de um mercado comum, estágio ainda não alcançado pelo bloco, podendo-se considerar que hoje o Mercosul é uma união aduaneira incompleta. </w:t>
      </w:r>
    </w:p>
    <w:p w14:paraId="5A623F18" w14:textId="09F56EB5" w:rsidR="00AF5028" w:rsidRPr="00D8754C" w:rsidRDefault="00C74671" w:rsidP="00D8754C">
      <w:pPr>
        <w:ind w:firstLine="709"/>
        <w:jc w:val="both"/>
      </w:pPr>
      <w:r>
        <w:t>A</w:t>
      </w:r>
      <w:r w:rsidR="00AF5028" w:rsidRPr="00D8754C">
        <w:t xml:space="preserve"> união aduaneira é uma zona de livre comércio acrescentado o estabelecimento de uma tarifa externa comum em relação aos países não participantes. Já o mercado comum, para além destas características, deve ainda agregar a livre circulação de bens, serviços, capitais e mão de obra, com instituições supranacionais muito mais fortes e enraizadas</w:t>
      </w:r>
      <w:r>
        <w:t>.</w:t>
      </w:r>
    </w:p>
    <w:p w14:paraId="3CA234AC" w14:textId="49B443A5" w:rsidR="00AF5028" w:rsidRPr="00180CDB" w:rsidRDefault="00AF5028" w:rsidP="00180CDB">
      <w:pPr>
        <w:ind w:firstLine="709"/>
        <w:jc w:val="both"/>
        <w:rPr>
          <w:rFonts w:eastAsia="Times New Roman"/>
        </w:rPr>
      </w:pPr>
      <w:r w:rsidRPr="00D8754C">
        <w:rPr>
          <w:rFonts w:eastAsia="Times New Roman"/>
        </w:rPr>
        <w:t>Ressalte-se que o Protocolo de Ouro Preto, de 1994, em seu preâmbulo, reafirma os princípios do Tratado de Assunção, de 1991, dando-se ênfase à implantação da união aduaneira como etapa para a construção do mercado comum. Assim, agregou-se à zona de livre comércio uma política conjunta dos países-partes em relação a terceiros países, através do estabelecimento de uma Tarifa Externa Comum (TEC), mas que até agora não foi ainda implementada</w:t>
      </w:r>
      <w:r w:rsidRPr="00D8754C">
        <w:t xml:space="preserve"> plenamente, havendo várias exceções a </w:t>
      </w:r>
      <w:r w:rsidRPr="000351A9">
        <w:t>mesma (</w:t>
      </w:r>
      <w:r w:rsidR="000351A9" w:rsidRPr="000351A9">
        <w:t xml:space="preserve">NUNES </w:t>
      </w:r>
      <w:r w:rsidRPr="000351A9">
        <w:t>JUNIOR, 2010)</w:t>
      </w:r>
      <w:r w:rsidRPr="000351A9">
        <w:rPr>
          <w:rFonts w:eastAsia="Times New Roman"/>
        </w:rPr>
        <w:t>.</w:t>
      </w:r>
      <w:r w:rsidRPr="00D8754C">
        <w:rPr>
          <w:rFonts w:eastAsia="Times New Roman"/>
        </w:rPr>
        <w:t xml:space="preserve"> </w:t>
      </w:r>
      <w:r w:rsidRPr="00D8754C">
        <w:t xml:space="preserve"> </w:t>
      </w:r>
    </w:p>
    <w:p w14:paraId="5D9FDECD" w14:textId="48A2A296" w:rsidR="00AF5028" w:rsidRPr="00D8754C" w:rsidRDefault="00AF5028" w:rsidP="002A42B9">
      <w:pPr>
        <w:jc w:val="both"/>
      </w:pPr>
      <w:r w:rsidRPr="00D8754C">
        <w:tab/>
      </w:r>
      <w:r w:rsidR="00C74671">
        <w:t xml:space="preserve">As </w:t>
      </w:r>
      <w:r w:rsidR="00B07AE2" w:rsidRPr="00D8754C">
        <w:t xml:space="preserve">denominadas </w:t>
      </w:r>
      <w:r w:rsidRPr="00D8754C">
        <w:t>exceções a TEC – Tarifa Externa Comum, previstas desde o estabelecimento do Mercosul</w:t>
      </w:r>
      <w:r w:rsidR="009751DA">
        <w:t xml:space="preserve">, foram sistematizadas através da criação </w:t>
      </w:r>
      <w:r w:rsidRPr="00D8754C">
        <w:rPr>
          <w:rFonts w:eastAsia="Times New Roman"/>
        </w:rPr>
        <w:t xml:space="preserve">Listas de Exceção Nacionais e Listas de Exceção Setoriais. As listas de exceção nacionais são definidas por cada Estado Parte. A cada seis meses, os Estados Partes podem revisar e alterar no máximo 20% de suas listas nacionais. Em casos excepcionais, os Estados Partes podem estabelecer alíquotas diferentes das modais (para mais ou para menos) e/ou estudar a aplicação de alíquotas superiores a 20%. No Brasil, os pedidos de inclusão e/ou exclusão de produtos na Lista de Exceção podem ser apresentados por empresas à Secretaria da Câmara de Comércio Exterior – CAMEX2, que devem preencher o roteiro de solicitação. Cabe ressaltar que o Governo pode </w:t>
      </w:r>
      <w:r w:rsidRPr="00D8754C">
        <w:rPr>
          <w:rFonts w:eastAsia="Times New Roman"/>
        </w:rPr>
        <w:lastRenderedPageBreak/>
        <w:t xml:space="preserve">também encaminhar solicitações ou de inclusão ou de exclusão de produtos na Lista. Uma vez que os pedidos são recebidos, uma reunião técnica para análise dos pedidos é convocada. Os resultados das reuniões técnicas são encaminhados na forma de recomendações ao Grupo aos Ministros da CAMEX que deliberarão sobre as alterações à </w:t>
      </w:r>
      <w:r w:rsidRPr="00C74671">
        <w:rPr>
          <w:rFonts w:eastAsia="Times New Roman"/>
        </w:rPr>
        <w:t>Lista</w:t>
      </w:r>
      <w:r w:rsidRPr="00C74671">
        <w:t xml:space="preserve"> (MINISTÉRIO DA AGRICUTURA, PECUÁRIA E ABASTECIMENTO, 20</w:t>
      </w:r>
      <w:r w:rsidR="009751DA" w:rsidRPr="00C74671">
        <w:t>22</w:t>
      </w:r>
      <w:r w:rsidRPr="00C74671">
        <w:t>)</w:t>
      </w:r>
      <w:r w:rsidRPr="00C74671">
        <w:rPr>
          <w:rFonts w:eastAsia="Times New Roman"/>
        </w:rPr>
        <w:t>.</w:t>
      </w:r>
      <w:r w:rsidRPr="00D8754C">
        <w:rPr>
          <w:rFonts w:eastAsia="Times New Roman"/>
        </w:rPr>
        <w:t xml:space="preserve"> </w:t>
      </w:r>
      <w:r w:rsidRPr="00D8754C">
        <w:rPr>
          <w:rFonts w:eastAsia="Times New Roman"/>
          <w:bCs/>
        </w:rPr>
        <w:t xml:space="preserve"> </w:t>
      </w:r>
    </w:p>
    <w:p w14:paraId="2B869538" w14:textId="770DD5D0" w:rsidR="00B975FF" w:rsidRPr="00D8754C" w:rsidRDefault="00AC05A7" w:rsidP="00D8754C">
      <w:pPr>
        <w:suppressAutoHyphens/>
        <w:ind w:firstLine="709"/>
        <w:jc w:val="both"/>
        <w:textAlignment w:val="baseline"/>
        <w:rPr>
          <w:rFonts w:eastAsia="Times New Roman"/>
          <w:bCs/>
          <w:lang w:bidi="hi-IN"/>
        </w:rPr>
      </w:pPr>
      <w:r w:rsidRPr="00D8754C">
        <w:rPr>
          <w:rFonts w:eastAsia="Times New Roman"/>
          <w:bCs/>
        </w:rPr>
        <w:t xml:space="preserve">Dentro da estrutura organizacional do Mercosul, </w:t>
      </w:r>
      <w:r w:rsidR="00B975FF" w:rsidRPr="00D8754C">
        <w:rPr>
          <w:rFonts w:eastAsia="Times New Roman"/>
          <w:bCs/>
        </w:rPr>
        <w:t>o Subgrupo</w:t>
      </w:r>
      <w:r w:rsidRPr="00D8754C">
        <w:rPr>
          <w:rFonts w:eastAsia="Times New Roman"/>
          <w:bCs/>
          <w:lang w:bidi="hi-IN"/>
        </w:rPr>
        <w:t xml:space="preserve"> de Trabalho n</w:t>
      </w:r>
      <w:r w:rsidR="00B07AE2" w:rsidRPr="00D8754C">
        <w:rPr>
          <w:rFonts w:eastAsia="Times New Roman"/>
          <w:bCs/>
          <w:lang w:bidi="hi-IN"/>
        </w:rPr>
        <w:t>º</w:t>
      </w:r>
      <w:r w:rsidRPr="00D8754C">
        <w:rPr>
          <w:rFonts w:eastAsia="Times New Roman"/>
          <w:bCs/>
          <w:lang w:bidi="hi-IN"/>
        </w:rPr>
        <w:t xml:space="preserve"> 8 - Agricultura do MERCOSUL (SGT-8) é o órgão de apoio ao Grupo Mercado Comum em assuntos de natureza agrícola. A principal atividade do SGT-8 é a elaboração e revisão de regulamentos (sanitário e fitossanitário) que buscam superar as barreiras técnicas ao comércio regional por meio da harmonização da regulamentação técnica existente nos Estados Partes. Assim, para o melhor desempenho de suas atividades, o SGT-8 dispõe das seguintes comissões técnicas de apoio: Comissão de Sanidade Animal, Comissão de Sanidade Vegetal, Comissão de Se</w:t>
      </w:r>
      <w:r w:rsidR="00B975FF" w:rsidRPr="00D8754C">
        <w:rPr>
          <w:rFonts w:eastAsia="Times New Roman"/>
          <w:bCs/>
        </w:rPr>
        <w:t xml:space="preserve">mentes e Comissão Vitivinícola </w:t>
      </w:r>
      <w:r w:rsidR="00B975FF" w:rsidRPr="00C74671">
        <w:t>(MINISTÉRIO DA AGRICUTURA, PECUÁRIA E ABASTECIMENTO, 20</w:t>
      </w:r>
      <w:r w:rsidR="00A15209" w:rsidRPr="00C74671">
        <w:t>22</w:t>
      </w:r>
      <w:r w:rsidR="00B975FF" w:rsidRPr="00C74671">
        <w:t>)</w:t>
      </w:r>
      <w:r w:rsidR="00785018" w:rsidRPr="00C74671">
        <w:rPr>
          <w:rFonts w:eastAsia="Times New Roman"/>
        </w:rPr>
        <w:t>.</w:t>
      </w:r>
    </w:p>
    <w:p w14:paraId="27B7453A" w14:textId="68D07C21" w:rsidR="006A65EB" w:rsidRPr="00D8754C" w:rsidRDefault="0073527C" w:rsidP="00A15209">
      <w:pPr>
        <w:pStyle w:val="Standard"/>
        <w:ind w:firstLine="709"/>
        <w:jc w:val="both"/>
        <w:rPr>
          <w:rFonts w:cs="Times New Roman"/>
        </w:rPr>
      </w:pPr>
      <w:r w:rsidRPr="00D8754C">
        <w:rPr>
          <w:rFonts w:cs="Times New Roman"/>
        </w:rPr>
        <w:t>Sob o aspecto clássico a função das atividades agropecuária</w:t>
      </w:r>
      <w:r w:rsidR="006A2C84" w:rsidRPr="00D8754C">
        <w:rPr>
          <w:rFonts w:cs="Times New Roman"/>
        </w:rPr>
        <w:t>s</w:t>
      </w:r>
      <w:r w:rsidRPr="00D8754C">
        <w:rPr>
          <w:rFonts w:cs="Times New Roman"/>
        </w:rPr>
        <w:t xml:space="preserve"> </w:t>
      </w:r>
      <w:r w:rsidR="001B726D" w:rsidRPr="00D8754C">
        <w:rPr>
          <w:rFonts w:cs="Times New Roman"/>
        </w:rPr>
        <w:t>deveria incluir</w:t>
      </w:r>
      <w:r w:rsidRPr="00D8754C">
        <w:rPr>
          <w:rFonts w:cs="Times New Roman"/>
        </w:rPr>
        <w:t xml:space="preserve"> a produç</w:t>
      </w:r>
      <w:r w:rsidR="006A2C84" w:rsidRPr="00D8754C">
        <w:rPr>
          <w:rFonts w:cs="Times New Roman"/>
        </w:rPr>
        <w:t>ão de alimentos e matéria prima</w:t>
      </w:r>
      <w:r w:rsidRPr="00D8754C">
        <w:rPr>
          <w:rFonts w:cs="Times New Roman"/>
        </w:rPr>
        <w:t xml:space="preserve"> para outras atividades econômicas; a disponibilização de mão de obra para outros setores; a criação de poupança interna através do processo de exportação e a função de abrir mercado para outras atividades. </w:t>
      </w:r>
      <w:r w:rsidR="006A2C84" w:rsidRPr="00D8754C">
        <w:rPr>
          <w:rFonts w:cs="Times New Roman"/>
        </w:rPr>
        <w:t>Posteriormente se agregou ainda a possibilidade constante de reprodução e acumulação de frações do capital através do seu investimento em tais atividades.</w:t>
      </w:r>
      <w:r w:rsidR="00A15209">
        <w:rPr>
          <w:rFonts w:cs="Times New Roman"/>
        </w:rPr>
        <w:t xml:space="preserve"> </w:t>
      </w:r>
    </w:p>
    <w:p w14:paraId="16C47A9C" w14:textId="6D2D6FD5" w:rsidR="00FF7ED8" w:rsidRPr="00D8754C" w:rsidRDefault="00E10DCE" w:rsidP="002A42B9">
      <w:pPr>
        <w:pStyle w:val="Standard"/>
        <w:ind w:firstLine="709"/>
        <w:jc w:val="both"/>
        <w:rPr>
          <w:rFonts w:cs="Times New Roman"/>
          <w:color w:val="000000"/>
          <w:kern w:val="0"/>
          <w:lang w:bidi="ar-SA"/>
        </w:rPr>
      </w:pPr>
      <w:r w:rsidRPr="00D8754C">
        <w:rPr>
          <w:rFonts w:cs="Times New Roman"/>
          <w:color w:val="000000"/>
          <w:kern w:val="0"/>
          <w:lang w:bidi="ar-SA"/>
        </w:rPr>
        <w:t xml:space="preserve">Ao se compreender atividade agrícolas segundo a lógica D-M-D’, é preciso também superar a visão clássica e agora comprovadamente simplista de separação das atividades em primárias, secundárias e terciárias. Na dinâmica agrícola moderna, a produção (primária) está entrelaçada ao seu beneficiamento (secundária) e distribuição (terciária). Em grande parte das organizações essas atividades se realizam agregadas, </w:t>
      </w:r>
      <w:r w:rsidR="005F4353" w:rsidRPr="00D8754C">
        <w:rPr>
          <w:rFonts w:cs="Times New Roman"/>
          <w:color w:val="000000"/>
          <w:kern w:val="0"/>
          <w:lang w:bidi="ar-SA"/>
        </w:rPr>
        <w:t>impedindo uma separação que leve</w:t>
      </w:r>
      <w:r w:rsidRPr="00D8754C">
        <w:rPr>
          <w:rFonts w:cs="Times New Roman"/>
          <w:color w:val="000000"/>
          <w:kern w:val="0"/>
          <w:lang w:bidi="ar-SA"/>
        </w:rPr>
        <w:t xml:space="preserve"> a quantificação </w:t>
      </w:r>
      <w:r w:rsidR="008D3AA7" w:rsidRPr="00D8754C">
        <w:rPr>
          <w:rFonts w:cs="Times New Roman"/>
          <w:color w:val="000000"/>
          <w:kern w:val="0"/>
          <w:lang w:bidi="ar-SA"/>
        </w:rPr>
        <w:t xml:space="preserve">do quanto daquela produção é fruto de um setor ou de outro, já que efetivamente tais setores passaram por um processo de simbiose que impede tal divisão, seja sob o aspecto financeiro (RS, US$) ou de produtividade (toneladas, arrobas, litros). </w:t>
      </w:r>
      <w:r w:rsidR="005F4353" w:rsidRPr="00D8754C">
        <w:rPr>
          <w:rFonts w:cs="Times New Roman"/>
          <w:color w:val="000000"/>
          <w:kern w:val="0"/>
          <w:lang w:bidi="ar-SA"/>
        </w:rPr>
        <w:t xml:space="preserve">Tal característica muitas vezes tem tido como consequência a dificuldade na medição do PIB setorial de determinada localidade, por exemplo, ou em afirmações de que tal localidade teria de “desindustrializado” por ter se especialidade em determinadas atividades do agronegócio. </w:t>
      </w:r>
    </w:p>
    <w:p w14:paraId="3FC2799D" w14:textId="03283093" w:rsidR="00E10DCE" w:rsidRPr="00D8754C" w:rsidRDefault="00C74EC7" w:rsidP="00D8754C">
      <w:pPr>
        <w:pStyle w:val="Standard"/>
        <w:ind w:firstLine="709"/>
        <w:jc w:val="both"/>
        <w:rPr>
          <w:rFonts w:cs="Times New Roman"/>
          <w:color w:val="000000"/>
          <w:kern w:val="0"/>
          <w:lang w:bidi="ar-SA"/>
        </w:rPr>
      </w:pPr>
      <w:r w:rsidRPr="00D8754C">
        <w:rPr>
          <w:rFonts w:cs="Times New Roman"/>
          <w:color w:val="000000"/>
          <w:kern w:val="0"/>
          <w:lang w:bidi="ar-SA"/>
        </w:rPr>
        <w:t xml:space="preserve">Nesse sentido, o estudo de cadeias produtivas tende a ser uma opção mais adequada do que a separação pelos setores tradicionais da economia. </w:t>
      </w:r>
    </w:p>
    <w:p w14:paraId="0D9BD505" w14:textId="56F2FAA6" w:rsidR="00FF7ED8" w:rsidRPr="00D8754C" w:rsidRDefault="00FF7ED8" w:rsidP="00D8754C">
      <w:pPr>
        <w:pStyle w:val="Standard"/>
        <w:ind w:firstLine="709"/>
        <w:jc w:val="both"/>
        <w:rPr>
          <w:rFonts w:cs="Times New Roman"/>
          <w:color w:val="000000"/>
          <w:kern w:val="0"/>
          <w:lang w:bidi="ar-SA"/>
        </w:rPr>
      </w:pPr>
      <w:r w:rsidRPr="00D8754C">
        <w:rPr>
          <w:rFonts w:cs="Times New Roman"/>
          <w:color w:val="000000"/>
          <w:kern w:val="0"/>
          <w:lang w:bidi="ar-SA"/>
        </w:rPr>
        <w:t xml:space="preserve">Assim, o agronegócio deve ser entendido como a cadeia produtiva que envolve desde a fabricação de insumos, passando pela produção nos estabelecimentos agropecuários e pela transformação, até seu consumo. Essa cadeia incorpora todos os serviços de apoio: pesquisa e assistência técnica, processamento, transporte, comercialização, crédito, exportação, serviços portuários, distribui- dores (dealers), bolsas, e o consumidor final. O valor agregado do complexo agroindustrial passa, obrigatoriamente, por cinco mercados: o de suprimentos, o de produção propriamente dita, processamento, distribuição e o do consumidor </w:t>
      </w:r>
      <w:r w:rsidRPr="000351A9">
        <w:rPr>
          <w:rFonts w:cs="Times New Roman"/>
          <w:color w:val="000000"/>
          <w:kern w:val="0"/>
          <w:lang w:bidi="ar-SA"/>
        </w:rPr>
        <w:t>final</w:t>
      </w:r>
      <w:r w:rsidR="00A273D1" w:rsidRPr="000351A9">
        <w:rPr>
          <w:rFonts w:cs="Times New Roman"/>
          <w:color w:val="000000"/>
          <w:kern w:val="0"/>
          <w:lang w:bidi="ar-SA"/>
        </w:rPr>
        <w:t xml:space="preserve"> (C</w:t>
      </w:r>
      <w:r w:rsidR="00A15209" w:rsidRPr="000351A9">
        <w:rPr>
          <w:rFonts w:cs="Times New Roman"/>
          <w:color w:val="000000"/>
          <w:kern w:val="0"/>
          <w:lang w:bidi="ar-SA"/>
        </w:rPr>
        <w:t>ONTINI</w:t>
      </w:r>
      <w:r w:rsidR="00A273D1" w:rsidRPr="000351A9">
        <w:rPr>
          <w:rFonts w:cs="Times New Roman"/>
          <w:color w:val="000000"/>
          <w:kern w:val="0"/>
          <w:lang w:bidi="ar-SA"/>
        </w:rPr>
        <w:t xml:space="preserve"> </w:t>
      </w:r>
      <w:r w:rsidR="00A273D1" w:rsidRPr="000351A9">
        <w:rPr>
          <w:rFonts w:cs="Times New Roman"/>
          <w:i/>
          <w:color w:val="000000"/>
          <w:kern w:val="0"/>
          <w:lang w:bidi="ar-SA"/>
        </w:rPr>
        <w:t>et al.</w:t>
      </w:r>
      <w:r w:rsidR="00A273D1" w:rsidRPr="000351A9">
        <w:rPr>
          <w:rFonts w:cs="Times New Roman"/>
          <w:color w:val="000000"/>
          <w:kern w:val="0"/>
          <w:lang w:bidi="ar-SA"/>
        </w:rPr>
        <w:t>, 2006)</w:t>
      </w:r>
      <w:r w:rsidRPr="000351A9">
        <w:rPr>
          <w:rFonts w:cs="Times New Roman"/>
          <w:color w:val="000000"/>
          <w:kern w:val="0"/>
          <w:lang w:bidi="ar-SA"/>
        </w:rPr>
        <w:t>.</w:t>
      </w:r>
    </w:p>
    <w:p w14:paraId="1068A6CB" w14:textId="73727A85" w:rsidR="00BE50DE" w:rsidRPr="00D8754C" w:rsidRDefault="00BE50DE" w:rsidP="00D8754C">
      <w:pPr>
        <w:pStyle w:val="Standard"/>
        <w:ind w:firstLine="709"/>
        <w:jc w:val="both"/>
        <w:rPr>
          <w:rFonts w:cs="Times New Roman"/>
          <w:color w:val="000000"/>
          <w:kern w:val="0"/>
          <w:lang w:bidi="ar-SA"/>
        </w:rPr>
      </w:pPr>
      <w:r w:rsidRPr="00D8754C">
        <w:rPr>
          <w:rFonts w:cs="Times New Roman"/>
          <w:color w:val="000000"/>
          <w:kern w:val="0"/>
          <w:lang w:bidi="ar-SA"/>
        </w:rPr>
        <w:t xml:space="preserve">Dentro dessa nova estrutura agrícola-capitalista, o Brasil deixou de ser um país </w:t>
      </w:r>
      <w:r w:rsidR="00E8560E">
        <w:rPr>
          <w:rFonts w:cs="Times New Roman"/>
          <w:color w:val="000000"/>
          <w:kern w:val="0"/>
          <w:lang w:bidi="ar-SA"/>
        </w:rPr>
        <w:t xml:space="preserve">meramente </w:t>
      </w:r>
      <w:r w:rsidRPr="00D8754C">
        <w:rPr>
          <w:rFonts w:cs="Times New Roman"/>
          <w:color w:val="000000"/>
          <w:kern w:val="0"/>
          <w:lang w:bidi="ar-SA"/>
        </w:rPr>
        <w:t>agroexportador, diversificando a sua pauta produtiva e elevando a participação da transformação industrial. Contudo, houve, simultaneamente, uma modernização da produção agropecuária, colocando o Brasil como agente central no cenário internacional. As estimativas da participação do agronegócio na economia brasileira variam de 15%, num sentido mais estrito, até 45%, englobando toda a organização da atividade agrícola</w:t>
      </w:r>
      <w:r w:rsidRPr="000351A9">
        <w:rPr>
          <w:rFonts w:cs="Times New Roman"/>
          <w:color w:val="000000"/>
          <w:kern w:val="0"/>
          <w:lang w:bidi="ar-SA"/>
        </w:rPr>
        <w:t xml:space="preserve"> (</w:t>
      </w:r>
      <w:r w:rsidR="00F141C7" w:rsidRPr="000351A9">
        <w:rPr>
          <w:rFonts w:cs="Times New Roman"/>
          <w:color w:val="000000"/>
          <w:kern w:val="0"/>
          <w:lang w:bidi="ar-SA"/>
        </w:rPr>
        <w:t xml:space="preserve">MARANHÃO; </w:t>
      </w:r>
      <w:r w:rsidRPr="000351A9">
        <w:rPr>
          <w:rFonts w:cs="Times New Roman"/>
          <w:color w:val="000000"/>
          <w:kern w:val="0"/>
          <w:lang w:bidi="ar-SA"/>
        </w:rPr>
        <w:t xml:space="preserve">FILHO, 2012). </w:t>
      </w:r>
      <w:r w:rsidR="006F1271" w:rsidRPr="000351A9">
        <w:rPr>
          <w:rFonts w:cs="Times New Roman"/>
          <w:color w:val="000000"/>
          <w:kern w:val="0"/>
          <w:lang w:bidi="ar-SA"/>
        </w:rPr>
        <w:t>Essa variação da participação do agronegócio no PIB brasileiro</w:t>
      </w:r>
      <w:r w:rsidR="006F1271" w:rsidRPr="00D8754C">
        <w:rPr>
          <w:rFonts w:cs="Times New Roman"/>
          <w:color w:val="000000"/>
          <w:kern w:val="0"/>
          <w:lang w:bidi="ar-SA"/>
        </w:rPr>
        <w:t xml:space="preserve"> é mias uma comprovação da inequidade em se utilizar a divisão por setores da economia nos estudos relacionados ao agronegócio moderno. </w:t>
      </w:r>
    </w:p>
    <w:p w14:paraId="4C102CA3" w14:textId="26727FA4" w:rsidR="0034165E" w:rsidRPr="00D8754C" w:rsidRDefault="0034165E" w:rsidP="00D8754C">
      <w:pPr>
        <w:pStyle w:val="Standard"/>
        <w:ind w:firstLine="709"/>
        <w:jc w:val="both"/>
        <w:rPr>
          <w:rFonts w:cs="Times New Roman"/>
          <w:color w:val="000000"/>
          <w:kern w:val="0"/>
          <w:lang w:bidi="ar-SA"/>
        </w:rPr>
      </w:pPr>
      <w:r w:rsidRPr="00D8754C">
        <w:rPr>
          <w:rFonts w:cs="Times New Roman"/>
          <w:color w:val="000000"/>
          <w:kern w:val="0"/>
          <w:lang w:bidi="ar-SA"/>
        </w:rPr>
        <w:lastRenderedPageBreak/>
        <w:t>Dentro dessa realidade da atividade agrícola capitalista, o Brasil, por mot</w:t>
      </w:r>
      <w:r w:rsidR="00A33D2E" w:rsidRPr="00D8754C">
        <w:rPr>
          <w:rFonts w:cs="Times New Roman"/>
          <w:color w:val="000000"/>
          <w:kern w:val="0"/>
          <w:lang w:bidi="ar-SA"/>
        </w:rPr>
        <w:t>ivos diversos, teve condições em</w:t>
      </w:r>
      <w:r w:rsidRPr="00D8754C">
        <w:rPr>
          <w:rFonts w:cs="Times New Roman"/>
          <w:color w:val="000000"/>
          <w:kern w:val="0"/>
          <w:lang w:bidi="ar-SA"/>
        </w:rPr>
        <w:t xml:space="preserve"> se tornar um protagonista em nível global em muitas das cadeiras produtivas do agronegócio, como na soja e na produção de carne bovina, para citarmos apenas um exemplo na agriculta e outro na pecuária. </w:t>
      </w:r>
    </w:p>
    <w:p w14:paraId="6F07009A" w14:textId="647C2005" w:rsidR="00A33D2E" w:rsidRPr="00D8754C" w:rsidRDefault="00A33D2E" w:rsidP="002A42B9">
      <w:pPr>
        <w:pStyle w:val="Standard"/>
        <w:jc w:val="both"/>
        <w:rPr>
          <w:rFonts w:cs="Times New Roman"/>
          <w:color w:val="000000"/>
          <w:kern w:val="0"/>
          <w:lang w:bidi="ar-SA"/>
        </w:rPr>
      </w:pPr>
      <w:r w:rsidRPr="00D8754C">
        <w:rPr>
          <w:rFonts w:cs="Times New Roman"/>
          <w:color w:val="000000"/>
          <w:kern w:val="0"/>
          <w:lang w:bidi="ar-SA"/>
        </w:rPr>
        <w:tab/>
        <w:t xml:space="preserve">No mesmo espaço temporal em que decorria o aprofundamento da dinâmica capitalista moderna no agronegócio brasileiro (final do século XX em diante), </w:t>
      </w:r>
      <w:r w:rsidR="004A4767" w:rsidRPr="00D8754C">
        <w:rPr>
          <w:rFonts w:cs="Times New Roman"/>
          <w:color w:val="000000"/>
          <w:kern w:val="0"/>
          <w:lang w:bidi="ar-SA"/>
        </w:rPr>
        <w:t xml:space="preserve">com seu avanço tecnológico e reformatação das relações campesinas, </w:t>
      </w:r>
      <w:r w:rsidRPr="00D8754C">
        <w:rPr>
          <w:rFonts w:cs="Times New Roman"/>
          <w:color w:val="000000"/>
          <w:kern w:val="0"/>
          <w:lang w:bidi="ar-SA"/>
        </w:rPr>
        <w:t xml:space="preserve">em termos geopolíticos o país avançava – ainda que moderadamente, no processo de integração regional com seus </w:t>
      </w:r>
      <w:r w:rsidR="00E22FF4" w:rsidRPr="00D8754C">
        <w:rPr>
          <w:rFonts w:cs="Times New Roman"/>
          <w:color w:val="000000"/>
          <w:kern w:val="0"/>
          <w:lang w:bidi="ar-SA"/>
        </w:rPr>
        <w:t xml:space="preserve">hoje </w:t>
      </w:r>
      <w:r w:rsidRPr="00D8754C">
        <w:rPr>
          <w:rFonts w:cs="Times New Roman"/>
          <w:color w:val="000000"/>
          <w:kern w:val="0"/>
          <w:lang w:bidi="ar-SA"/>
        </w:rPr>
        <w:t xml:space="preserve">parceiros do Mercosul.   </w:t>
      </w:r>
    </w:p>
    <w:p w14:paraId="1471E6D6" w14:textId="3A8AA949" w:rsidR="00A33D2E" w:rsidRPr="00D8754C" w:rsidRDefault="00A33D2E" w:rsidP="00D8754C">
      <w:pPr>
        <w:pStyle w:val="Standard"/>
        <w:ind w:firstLine="709"/>
        <w:jc w:val="both"/>
        <w:rPr>
          <w:rFonts w:cs="Times New Roman"/>
          <w:color w:val="000000"/>
          <w:kern w:val="0"/>
          <w:lang w:bidi="ar-SA"/>
        </w:rPr>
      </w:pPr>
      <w:r w:rsidRPr="00D8754C">
        <w:rPr>
          <w:rFonts w:cs="Times New Roman"/>
          <w:color w:val="000000"/>
          <w:kern w:val="0"/>
          <w:lang w:bidi="ar-SA"/>
        </w:rPr>
        <w:t xml:space="preserve">Dessa forma, </w:t>
      </w:r>
      <w:r w:rsidR="00E22FF4" w:rsidRPr="00D8754C">
        <w:rPr>
          <w:rFonts w:cs="Times New Roman"/>
          <w:color w:val="000000"/>
          <w:kern w:val="0"/>
          <w:lang w:bidi="ar-SA"/>
        </w:rPr>
        <w:t xml:space="preserve">através bloco econômico, decorreram duas grandes vantagens competitivas, a abertura de </w:t>
      </w:r>
      <w:r w:rsidRPr="00D8754C">
        <w:rPr>
          <w:rFonts w:cs="Times New Roman"/>
          <w:color w:val="000000"/>
          <w:kern w:val="0"/>
          <w:lang w:bidi="ar-SA"/>
        </w:rPr>
        <w:t xml:space="preserve">um mercado “livre” aos produtos brasileiros para </w:t>
      </w:r>
      <w:r w:rsidR="00E22FF4" w:rsidRPr="00D8754C">
        <w:rPr>
          <w:rFonts w:cs="Times New Roman"/>
          <w:color w:val="000000"/>
          <w:kern w:val="0"/>
          <w:lang w:bidi="ar-SA"/>
        </w:rPr>
        <w:t>além do seu limite territorial; e, a possibilidade de utilizar o Mercosul para a realização de negociações em bloco com potenciais mercados mais poderosos (politica e economicamente falando),</w:t>
      </w:r>
      <w:r w:rsidRPr="00D8754C">
        <w:rPr>
          <w:rFonts w:cs="Times New Roman"/>
          <w:color w:val="000000"/>
          <w:kern w:val="0"/>
          <w:lang w:bidi="ar-SA"/>
        </w:rPr>
        <w:t xml:space="preserve"> em especial a União Europeia, EUA e China. </w:t>
      </w:r>
      <w:r w:rsidR="006E3434" w:rsidRPr="00D8754C">
        <w:rPr>
          <w:rFonts w:cs="Times New Roman"/>
          <w:color w:val="000000"/>
          <w:kern w:val="0"/>
          <w:lang w:bidi="ar-SA"/>
        </w:rPr>
        <w:t xml:space="preserve">Por outro lado, o Mercosul também representou uma ameaça a determinados produtos brasileiros em que os parceiros de bloco tenham melhores condições produtivas e/ou de competitividade, embora o Brasil, como maior economia do Mercosul no geral sempre tenha a tendência em ser o menos prejudicado globalmente analisando. </w:t>
      </w:r>
      <w:r w:rsidR="002A42B9">
        <w:rPr>
          <w:rFonts w:cs="Times New Roman"/>
          <w:color w:val="000000"/>
          <w:kern w:val="0"/>
          <w:lang w:bidi="ar-SA"/>
        </w:rPr>
        <w:t xml:space="preserve"> </w:t>
      </w:r>
    </w:p>
    <w:p w14:paraId="1F4487D9" w14:textId="753861FB" w:rsidR="00557B14" w:rsidRPr="00825651" w:rsidRDefault="00000C01" w:rsidP="0003268E">
      <w:pPr>
        <w:pStyle w:val="Standard"/>
        <w:ind w:firstLine="709"/>
        <w:jc w:val="both"/>
        <w:rPr>
          <w:rFonts w:cs="Times New Roman"/>
        </w:rPr>
      </w:pPr>
      <w:r w:rsidRPr="00D8754C">
        <w:rPr>
          <w:rFonts w:cs="Times New Roman"/>
        </w:rPr>
        <w:t>Através da análise d</w:t>
      </w:r>
      <w:r w:rsidR="002A42B9">
        <w:rPr>
          <w:rFonts w:cs="Times New Roman"/>
        </w:rPr>
        <w:t xml:space="preserve">e dados existentes no </w:t>
      </w:r>
      <w:r w:rsidR="002A42B9" w:rsidRPr="00825651">
        <w:rPr>
          <w:rFonts w:cs="Times New Roman"/>
        </w:rPr>
        <w:t>Ministério da Agricultura, Pecuária e Abastecimento (202</w:t>
      </w:r>
      <w:r w:rsidR="00044027" w:rsidRPr="00825651">
        <w:rPr>
          <w:rFonts w:cs="Times New Roman"/>
        </w:rPr>
        <w:t>2</w:t>
      </w:r>
      <w:r w:rsidR="002A42B9" w:rsidRPr="00825651">
        <w:rPr>
          <w:rFonts w:cs="Times New Roman"/>
        </w:rPr>
        <w:t>)</w:t>
      </w:r>
      <w:r w:rsidRPr="00825651">
        <w:rPr>
          <w:rFonts w:cs="Times New Roman"/>
        </w:rPr>
        <w:t xml:space="preserve">, </w:t>
      </w:r>
      <w:r w:rsidR="002A42B9" w:rsidRPr="00825651">
        <w:rPr>
          <w:rFonts w:cs="Times New Roman"/>
        </w:rPr>
        <w:t>pode-se</w:t>
      </w:r>
      <w:r w:rsidR="00D86250" w:rsidRPr="00825651">
        <w:rPr>
          <w:rFonts w:cs="Times New Roman"/>
        </w:rPr>
        <w:t xml:space="preserve"> </w:t>
      </w:r>
      <w:r w:rsidR="00044027" w:rsidRPr="00825651">
        <w:rPr>
          <w:rFonts w:cs="Times New Roman"/>
        </w:rPr>
        <w:t xml:space="preserve">estabelecer a </w:t>
      </w:r>
      <w:r w:rsidRPr="00825651">
        <w:rPr>
          <w:rFonts w:cs="Times New Roman"/>
        </w:rPr>
        <w:t xml:space="preserve">relação entre </w:t>
      </w:r>
      <w:r w:rsidR="00044027" w:rsidRPr="00825651">
        <w:rPr>
          <w:rFonts w:cs="Times New Roman"/>
        </w:rPr>
        <w:t xml:space="preserve">o agronegócio </w:t>
      </w:r>
      <w:r w:rsidRPr="00825651">
        <w:rPr>
          <w:rFonts w:cs="Times New Roman"/>
        </w:rPr>
        <w:t>bra</w:t>
      </w:r>
      <w:r w:rsidR="00D717BD" w:rsidRPr="00825651">
        <w:rPr>
          <w:rFonts w:cs="Times New Roman"/>
        </w:rPr>
        <w:t>sileir</w:t>
      </w:r>
      <w:r w:rsidR="00044027" w:rsidRPr="00825651">
        <w:rPr>
          <w:rFonts w:cs="Times New Roman"/>
        </w:rPr>
        <w:t>o</w:t>
      </w:r>
      <w:r w:rsidR="00D717BD" w:rsidRPr="00825651">
        <w:rPr>
          <w:rFonts w:cs="Times New Roman"/>
        </w:rPr>
        <w:t xml:space="preserve"> e sua inserção no mundo</w:t>
      </w:r>
      <w:r w:rsidR="00044027" w:rsidRPr="00825651">
        <w:rPr>
          <w:rFonts w:cs="Times New Roman"/>
        </w:rPr>
        <w:t>,</w:t>
      </w:r>
      <w:r w:rsidR="00D717BD" w:rsidRPr="00825651">
        <w:rPr>
          <w:rFonts w:cs="Times New Roman"/>
        </w:rPr>
        <w:t xml:space="preserve"> </w:t>
      </w:r>
      <w:r w:rsidRPr="00825651">
        <w:rPr>
          <w:rFonts w:cs="Times New Roman"/>
        </w:rPr>
        <w:t>especialmente junto aos seu</w:t>
      </w:r>
      <w:r w:rsidR="006E1839" w:rsidRPr="00825651">
        <w:rPr>
          <w:rFonts w:cs="Times New Roman"/>
        </w:rPr>
        <w:t>s</w:t>
      </w:r>
      <w:r w:rsidRPr="00825651">
        <w:rPr>
          <w:rFonts w:cs="Times New Roman"/>
        </w:rPr>
        <w:t xml:space="preserve"> parceiros do Mercosul.</w:t>
      </w:r>
      <w:r w:rsidR="006E1839" w:rsidRPr="00825651">
        <w:rPr>
          <w:rFonts w:cs="Times New Roman"/>
        </w:rPr>
        <w:t xml:space="preserve"> No ano de 20</w:t>
      </w:r>
      <w:r w:rsidR="004D5B67" w:rsidRPr="00825651">
        <w:rPr>
          <w:rFonts w:cs="Times New Roman"/>
        </w:rPr>
        <w:t>21</w:t>
      </w:r>
      <w:r w:rsidR="006E1839" w:rsidRPr="00825651">
        <w:rPr>
          <w:rFonts w:cs="Times New Roman"/>
        </w:rPr>
        <w:t xml:space="preserve"> o Brasil exportou em valores totais </w:t>
      </w:r>
      <w:r w:rsidR="00D86250" w:rsidRPr="00825651">
        <w:rPr>
          <w:rFonts w:cs="Times New Roman"/>
        </w:rPr>
        <w:t xml:space="preserve">aproximadamente </w:t>
      </w:r>
      <w:r w:rsidR="006E1839" w:rsidRPr="00825651">
        <w:rPr>
          <w:rFonts w:cs="Times New Roman"/>
        </w:rPr>
        <w:t xml:space="preserve">US$ </w:t>
      </w:r>
      <w:r w:rsidR="004D5B67" w:rsidRPr="00825651">
        <w:rPr>
          <w:rFonts w:cs="Times New Roman"/>
        </w:rPr>
        <w:t>280</w:t>
      </w:r>
      <w:r w:rsidR="00D86250" w:rsidRPr="00825651">
        <w:rPr>
          <w:rFonts w:cs="Times New Roman"/>
        </w:rPr>
        <w:t xml:space="preserve"> bilhões</w:t>
      </w:r>
      <w:r w:rsidR="006E1839" w:rsidRPr="00825651">
        <w:rPr>
          <w:rFonts w:cs="Times New Roman"/>
        </w:rPr>
        <w:t>, dos quais</w:t>
      </w:r>
      <w:r w:rsidR="00D86250" w:rsidRPr="00825651">
        <w:rPr>
          <w:rFonts w:cs="Times New Roman"/>
        </w:rPr>
        <w:t xml:space="preserve"> aproximadamente</w:t>
      </w:r>
      <w:r w:rsidR="006E1839" w:rsidRPr="00825651">
        <w:rPr>
          <w:rFonts w:cs="Times New Roman"/>
        </w:rPr>
        <w:t xml:space="preserve"> US$ </w:t>
      </w:r>
      <w:r w:rsidR="004D5B67" w:rsidRPr="00825651">
        <w:rPr>
          <w:rFonts w:cs="Times New Roman"/>
        </w:rPr>
        <w:t>120</w:t>
      </w:r>
      <w:r w:rsidR="00D86250" w:rsidRPr="00825651">
        <w:rPr>
          <w:rFonts w:cs="Times New Roman"/>
        </w:rPr>
        <w:t xml:space="preserve"> bilhões vieram </w:t>
      </w:r>
      <w:r w:rsidR="006E1839" w:rsidRPr="00825651">
        <w:rPr>
          <w:rFonts w:cs="Times New Roman"/>
        </w:rPr>
        <w:t>do setor agrícola</w:t>
      </w:r>
      <w:r w:rsidR="00825651">
        <w:rPr>
          <w:rFonts w:cs="Times New Roman"/>
        </w:rPr>
        <w:t xml:space="preserve"> (MINISTÉRIO DA ECONOMIA, 2022)</w:t>
      </w:r>
      <w:r w:rsidR="006E1839" w:rsidRPr="00825651">
        <w:rPr>
          <w:rFonts w:cs="Times New Roman"/>
        </w:rPr>
        <w:t>.</w:t>
      </w:r>
      <w:r w:rsidR="0003268E" w:rsidRPr="00825651">
        <w:rPr>
          <w:rFonts w:cs="Times New Roman"/>
        </w:rPr>
        <w:t xml:space="preserve"> </w:t>
      </w:r>
    </w:p>
    <w:p w14:paraId="692AB63C" w14:textId="3B1D795A" w:rsidR="00DB21C3" w:rsidRPr="00D8754C" w:rsidRDefault="00AD73AB" w:rsidP="00044027">
      <w:pPr>
        <w:pStyle w:val="Standard"/>
        <w:ind w:firstLine="709"/>
        <w:jc w:val="both"/>
        <w:rPr>
          <w:rFonts w:cs="Times New Roman"/>
        </w:rPr>
      </w:pPr>
      <w:r w:rsidRPr="00825651">
        <w:rPr>
          <w:rFonts w:cs="Times New Roman"/>
        </w:rPr>
        <w:t>Da análise</w:t>
      </w:r>
      <w:r w:rsidR="005D1682" w:rsidRPr="00825651">
        <w:rPr>
          <w:rFonts w:cs="Times New Roman"/>
        </w:rPr>
        <w:t xml:space="preserve"> da</w:t>
      </w:r>
      <w:r w:rsidR="0003268E" w:rsidRPr="00825651">
        <w:rPr>
          <w:rFonts w:cs="Times New Roman"/>
        </w:rPr>
        <w:t>s exportações do Brasil ao Mercosul, evidencia-se</w:t>
      </w:r>
      <w:r w:rsidR="00044027" w:rsidRPr="00825651">
        <w:rPr>
          <w:rFonts w:cs="Times New Roman"/>
        </w:rPr>
        <w:t xml:space="preserve"> que</w:t>
      </w:r>
      <w:r w:rsidR="0003268E" w:rsidRPr="00825651">
        <w:rPr>
          <w:rFonts w:cs="Times New Roman"/>
        </w:rPr>
        <w:t xml:space="preserve"> </w:t>
      </w:r>
      <w:r w:rsidR="005D1682" w:rsidRPr="00825651">
        <w:rPr>
          <w:rFonts w:cs="Times New Roman"/>
        </w:rPr>
        <w:t xml:space="preserve">à exceção da Argentina, os </w:t>
      </w:r>
      <w:r w:rsidR="0003268E" w:rsidRPr="00825651">
        <w:rPr>
          <w:rFonts w:cs="Times New Roman"/>
        </w:rPr>
        <w:t xml:space="preserve">demais parceiros do bloco </w:t>
      </w:r>
      <w:r w:rsidR="005D1682" w:rsidRPr="00825651">
        <w:rPr>
          <w:rFonts w:cs="Times New Roman"/>
        </w:rPr>
        <w:t xml:space="preserve">são destinos </w:t>
      </w:r>
      <w:r w:rsidR="00D760CC" w:rsidRPr="00825651">
        <w:rPr>
          <w:rFonts w:cs="Times New Roman"/>
        </w:rPr>
        <w:t>de menor relevância</w:t>
      </w:r>
      <w:r w:rsidR="00D760CC">
        <w:rPr>
          <w:rFonts w:cs="Times New Roman"/>
        </w:rPr>
        <w:t xml:space="preserve"> </w:t>
      </w:r>
      <w:r w:rsidR="005D1682" w:rsidRPr="00D8754C">
        <w:rPr>
          <w:rFonts w:cs="Times New Roman"/>
        </w:rPr>
        <w:t>das exportações brasileiras, mesmo dispondo o país de condições facilitadas sob os aspectos fiscal e logístico</w:t>
      </w:r>
      <w:r w:rsidR="0070241D" w:rsidRPr="00D8754C">
        <w:rPr>
          <w:rFonts w:cs="Times New Roman"/>
        </w:rPr>
        <w:t>. Porém, é importante fugir da tentação de uma conclusão fácil e rasa afirmando que o Mercosul seria menos importante ou até mesmo irrelevante, deve-se sim destacar que no computo geral, o bloco – formado por países todos ele</w:t>
      </w:r>
      <w:r w:rsidR="00D760CC">
        <w:rPr>
          <w:rFonts w:cs="Times New Roman"/>
        </w:rPr>
        <w:t>s</w:t>
      </w:r>
      <w:r w:rsidR="0070241D" w:rsidRPr="00D8754C">
        <w:rPr>
          <w:rFonts w:cs="Times New Roman"/>
        </w:rPr>
        <w:t xml:space="preserve"> muito menores que o Brasil – é o destino de mais de 10% das exportações brasileiras. Quando analisado dessa forma, que país </w:t>
      </w:r>
      <w:r w:rsidR="00CA6088" w:rsidRPr="00D8754C">
        <w:rPr>
          <w:rFonts w:cs="Times New Roman"/>
        </w:rPr>
        <w:t>renunciaria a</w:t>
      </w:r>
      <w:r w:rsidR="0070241D" w:rsidRPr="00D8754C">
        <w:rPr>
          <w:rFonts w:cs="Times New Roman"/>
        </w:rPr>
        <w:t xml:space="preserve"> 10% do seu mercado consumidor</w:t>
      </w:r>
      <w:r w:rsidR="00E37A3B">
        <w:rPr>
          <w:rFonts w:cs="Times New Roman"/>
        </w:rPr>
        <w:t>.</w:t>
      </w:r>
      <w:r w:rsidR="0070241D" w:rsidRPr="00D8754C">
        <w:rPr>
          <w:rFonts w:cs="Times New Roman"/>
        </w:rPr>
        <w:t xml:space="preserve"> </w:t>
      </w:r>
    </w:p>
    <w:p w14:paraId="336E915F" w14:textId="2BAA81CF" w:rsidR="00E35E72" w:rsidRPr="00D8754C" w:rsidRDefault="00D760CC" w:rsidP="00D8754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Aprofundando a análise das trocas comerciais do agronegócio brasileiro com o Mercosul, s</w:t>
      </w:r>
      <w:r w:rsidR="0062571A" w:rsidRPr="00D8754C">
        <w:rPr>
          <w:rFonts w:cs="Times New Roman"/>
        </w:rPr>
        <w:t>ão extraídas</w:t>
      </w:r>
      <w:r>
        <w:rPr>
          <w:rFonts w:cs="Times New Roman"/>
        </w:rPr>
        <w:t xml:space="preserve"> outras</w:t>
      </w:r>
      <w:r w:rsidR="0062571A" w:rsidRPr="00D8754C">
        <w:rPr>
          <w:rFonts w:cs="Times New Roman"/>
        </w:rPr>
        <w:t xml:space="preserve"> importantes observações: enquanto que sob o aspecto total das exportações brasileiras o Mercosul é um impo</w:t>
      </w:r>
      <w:r w:rsidR="008B0206" w:rsidRPr="00D8754C">
        <w:rPr>
          <w:rFonts w:cs="Times New Roman"/>
        </w:rPr>
        <w:t>rtante mercado, quando analisado</w:t>
      </w:r>
      <w:r w:rsidR="0062571A" w:rsidRPr="00D8754C">
        <w:rPr>
          <w:rFonts w:cs="Times New Roman"/>
        </w:rPr>
        <w:t xml:space="preserve"> somente as exportações do setor agrícola, o bloco é um mero coadjuvante, participando com apenas 10% das ex</w:t>
      </w:r>
      <w:r>
        <w:rPr>
          <w:rFonts w:cs="Times New Roman"/>
        </w:rPr>
        <w:t>p</w:t>
      </w:r>
      <w:r w:rsidR="0062571A" w:rsidRPr="00D8754C">
        <w:rPr>
          <w:rFonts w:cs="Times New Roman"/>
        </w:rPr>
        <w:t>ortações totais que tem o bloco como destinação</w:t>
      </w:r>
      <w:r w:rsidR="009E535B" w:rsidRPr="00D8754C">
        <w:rPr>
          <w:rFonts w:cs="Times New Roman"/>
        </w:rPr>
        <w:t xml:space="preserve">, enquanto que esse setor responde por </w:t>
      </w:r>
      <w:r w:rsidR="00E35E72" w:rsidRPr="00D8754C">
        <w:rPr>
          <w:rFonts w:cs="Times New Roman"/>
        </w:rPr>
        <w:t>quase 40% das exportações brasileiras em nível mundial</w:t>
      </w:r>
      <w:r w:rsidR="0062571A" w:rsidRPr="00D8754C">
        <w:rPr>
          <w:rFonts w:cs="Times New Roman"/>
        </w:rPr>
        <w:t xml:space="preserve">. </w:t>
      </w:r>
      <w:r w:rsidR="008B0206" w:rsidRPr="00D8754C">
        <w:rPr>
          <w:rFonts w:cs="Times New Roman"/>
        </w:rPr>
        <w:t xml:space="preserve">Há, portanto, um grande abismo entre a média mundial das exportações brasileiras agrícolas para com o valor que tem o Mercosul como mercado. </w:t>
      </w:r>
    </w:p>
    <w:p w14:paraId="57D48C37" w14:textId="5EB8A96D" w:rsidR="0062571A" w:rsidRPr="00D8754C" w:rsidRDefault="00E35E72" w:rsidP="00D8754C">
      <w:pPr>
        <w:pStyle w:val="Standard"/>
        <w:ind w:firstLine="709"/>
        <w:jc w:val="both"/>
        <w:rPr>
          <w:rFonts w:cs="Times New Roman"/>
        </w:rPr>
      </w:pPr>
      <w:r w:rsidRPr="00D8754C">
        <w:rPr>
          <w:rFonts w:cs="Times New Roman"/>
        </w:rPr>
        <w:t>Quando observada</w:t>
      </w:r>
      <w:r w:rsidR="0062571A" w:rsidRPr="00D8754C">
        <w:rPr>
          <w:rFonts w:cs="Times New Roman"/>
        </w:rPr>
        <w:t xml:space="preserve"> a participação dos produtos agrícolas exportados ao Mercosul em comparação ao seu total</w:t>
      </w:r>
      <w:r w:rsidRPr="00D8754C">
        <w:rPr>
          <w:rFonts w:cs="Times New Roman"/>
        </w:rPr>
        <w:t xml:space="preserve"> global</w:t>
      </w:r>
      <w:r w:rsidR="0062571A" w:rsidRPr="00D8754C">
        <w:rPr>
          <w:rFonts w:cs="Times New Roman"/>
        </w:rPr>
        <w:t>, a participação do bloco é reduzida a apenas 2,8% do total de produtos vendidos ao mundo</w:t>
      </w:r>
      <w:r w:rsidR="008B0206" w:rsidRPr="00D8754C">
        <w:rPr>
          <w:rFonts w:cs="Times New Roman"/>
        </w:rPr>
        <w:t xml:space="preserve">, demonstrando aqui a quase irrelevância da região para esses produtos. </w:t>
      </w:r>
    </w:p>
    <w:p w14:paraId="094CE8B6" w14:textId="0C6B9388" w:rsidR="00E35E72" w:rsidRPr="00D8754C" w:rsidRDefault="00E35E72" w:rsidP="00D8754C">
      <w:pPr>
        <w:pStyle w:val="Standard"/>
        <w:ind w:firstLine="709"/>
        <w:jc w:val="both"/>
        <w:rPr>
          <w:rFonts w:cs="Times New Roman"/>
        </w:rPr>
      </w:pPr>
      <w:r w:rsidRPr="00D8754C">
        <w:rPr>
          <w:rFonts w:cs="Times New Roman"/>
        </w:rPr>
        <w:t>Outro aspecto interessante</w:t>
      </w:r>
      <w:r w:rsidR="008B0206" w:rsidRPr="00D8754C">
        <w:rPr>
          <w:rFonts w:cs="Times New Roman"/>
        </w:rPr>
        <w:t xml:space="preserve"> apontado</w:t>
      </w:r>
      <w:r w:rsidRPr="00D8754C">
        <w:rPr>
          <w:rFonts w:cs="Times New Roman"/>
        </w:rPr>
        <w:t xml:space="preserve"> é</w:t>
      </w:r>
      <w:r w:rsidR="008B0206" w:rsidRPr="00D8754C">
        <w:rPr>
          <w:rFonts w:cs="Times New Roman"/>
        </w:rPr>
        <w:t xml:space="preserve"> o caso da Argentina, enquanto </w:t>
      </w:r>
      <w:r w:rsidRPr="00D8754C">
        <w:rPr>
          <w:rFonts w:cs="Times New Roman"/>
        </w:rPr>
        <w:t xml:space="preserve">em temos totais é o </w:t>
      </w:r>
      <w:r w:rsidRPr="00251FE1">
        <w:rPr>
          <w:rFonts w:cs="Times New Roman"/>
        </w:rPr>
        <w:t>parceiro do Mercosul mais importante para o Brasil, destino de quase 70% das exportações do bloco, quando analisado setorialmente, apenas 4,25%</w:t>
      </w:r>
      <w:r w:rsidR="00E2069D" w:rsidRPr="00251FE1">
        <w:rPr>
          <w:rFonts w:cs="Times New Roman"/>
        </w:rPr>
        <w:t xml:space="preserve"> dos </w:t>
      </w:r>
      <w:r w:rsidR="00251FE1" w:rsidRPr="00251FE1">
        <w:rPr>
          <w:rFonts w:cs="Times New Roman"/>
        </w:rPr>
        <w:t xml:space="preserve">aproximadamente US$ 16 bilhões </w:t>
      </w:r>
      <w:r w:rsidR="00E2069D" w:rsidRPr="00251FE1">
        <w:rPr>
          <w:rFonts w:cs="Times New Roman"/>
        </w:rPr>
        <w:t>negociado</w:t>
      </w:r>
      <w:r w:rsidR="00251FE1" w:rsidRPr="00251FE1">
        <w:rPr>
          <w:rFonts w:cs="Times New Roman"/>
        </w:rPr>
        <w:t>s</w:t>
      </w:r>
      <w:r w:rsidR="00E2069D" w:rsidRPr="00251FE1">
        <w:rPr>
          <w:rFonts w:cs="Times New Roman"/>
        </w:rPr>
        <w:t xml:space="preserve"> no ano de 20</w:t>
      </w:r>
      <w:r w:rsidR="00251FE1" w:rsidRPr="00251FE1">
        <w:rPr>
          <w:rFonts w:cs="Times New Roman"/>
        </w:rPr>
        <w:t>20</w:t>
      </w:r>
      <w:r w:rsidR="00E2069D" w:rsidRPr="00251FE1">
        <w:rPr>
          <w:rFonts w:cs="Times New Roman"/>
        </w:rPr>
        <w:t xml:space="preserve"> </w:t>
      </w:r>
      <w:r w:rsidR="008B0206" w:rsidRPr="00251FE1">
        <w:rPr>
          <w:rFonts w:cs="Times New Roman"/>
        </w:rPr>
        <w:t xml:space="preserve">foram </w:t>
      </w:r>
      <w:r w:rsidRPr="00251FE1">
        <w:rPr>
          <w:rFonts w:cs="Times New Roman"/>
        </w:rPr>
        <w:t>relacionado</w:t>
      </w:r>
      <w:r w:rsidR="00E2069D" w:rsidRPr="00251FE1">
        <w:rPr>
          <w:rFonts w:cs="Times New Roman"/>
        </w:rPr>
        <w:t>s</w:t>
      </w:r>
      <w:r w:rsidRPr="00251FE1">
        <w:rPr>
          <w:rFonts w:cs="Times New Roman"/>
        </w:rPr>
        <w:t xml:space="preserve"> ao mercado agrí</w:t>
      </w:r>
      <w:r w:rsidR="00E2069D" w:rsidRPr="00251FE1">
        <w:rPr>
          <w:rFonts w:cs="Times New Roman"/>
        </w:rPr>
        <w:t xml:space="preserve">cola. A Venezuela, por outro lado está em situação inversa, em termos totais é um mercado pequeno, com apenas US$ </w:t>
      </w:r>
      <w:r w:rsidR="00251FE1" w:rsidRPr="00251FE1">
        <w:rPr>
          <w:rFonts w:cs="Times New Roman"/>
        </w:rPr>
        <w:t>830.000.000</w:t>
      </w:r>
      <w:r w:rsidR="00E2069D" w:rsidRPr="00251FE1">
        <w:rPr>
          <w:rFonts w:cs="Times New Roman"/>
        </w:rPr>
        <w:t xml:space="preserve"> negociados no ano de 20</w:t>
      </w:r>
      <w:r w:rsidR="00251FE1" w:rsidRPr="00251FE1">
        <w:rPr>
          <w:rFonts w:cs="Times New Roman"/>
        </w:rPr>
        <w:t>20</w:t>
      </w:r>
      <w:r w:rsidR="00E2069D" w:rsidRPr="00251FE1">
        <w:rPr>
          <w:rFonts w:cs="Times New Roman"/>
        </w:rPr>
        <w:t>, porém com mais de 5</w:t>
      </w:r>
      <w:r w:rsidR="00251FE1" w:rsidRPr="00251FE1">
        <w:rPr>
          <w:rFonts w:cs="Times New Roman"/>
        </w:rPr>
        <w:t>0</w:t>
      </w:r>
      <w:r w:rsidR="00E2069D" w:rsidRPr="00251FE1">
        <w:rPr>
          <w:rFonts w:cs="Times New Roman"/>
        </w:rPr>
        <w:t xml:space="preserve">% desse valor </w:t>
      </w:r>
      <w:r w:rsidR="00E2069D" w:rsidRPr="00251FE1">
        <w:rPr>
          <w:rFonts w:cs="Times New Roman"/>
        </w:rPr>
        <w:lastRenderedPageBreak/>
        <w:t>relacionados ao mercado agrícola.</w:t>
      </w:r>
    </w:p>
    <w:p w14:paraId="29AAF167" w14:textId="28798287" w:rsidR="00AA3A66" w:rsidRPr="00D8754C" w:rsidRDefault="00AA3A66" w:rsidP="00D8754C">
      <w:pPr>
        <w:pStyle w:val="Standard"/>
        <w:ind w:firstLine="709"/>
        <w:jc w:val="both"/>
        <w:rPr>
          <w:rFonts w:cs="Times New Roman"/>
        </w:rPr>
      </w:pPr>
      <w:r w:rsidRPr="00D8754C">
        <w:rPr>
          <w:rFonts w:cs="Times New Roman"/>
        </w:rPr>
        <w:t xml:space="preserve">Paraguai e Uruguai, embora não tenham uma participação percentual tão baixa como a da Argentina como destinação de produtos agrícolas, também figuram como mercados recebedores </w:t>
      </w:r>
      <w:r w:rsidR="00D760CC">
        <w:rPr>
          <w:rFonts w:cs="Times New Roman"/>
        </w:rPr>
        <w:t xml:space="preserve">de </w:t>
      </w:r>
      <w:r w:rsidRPr="00D8754C">
        <w:rPr>
          <w:rFonts w:cs="Times New Roman"/>
        </w:rPr>
        <w:t>pequeno</w:t>
      </w:r>
      <w:r w:rsidR="00D760CC">
        <w:rPr>
          <w:rFonts w:cs="Times New Roman"/>
        </w:rPr>
        <w:t xml:space="preserve"> porte</w:t>
      </w:r>
      <w:r w:rsidRPr="00D8754C">
        <w:rPr>
          <w:rFonts w:cs="Times New Roman"/>
        </w:rPr>
        <w:t>, tanto em termos absolutos co</w:t>
      </w:r>
      <w:r w:rsidRPr="00251FE1">
        <w:rPr>
          <w:rFonts w:cs="Times New Roman"/>
        </w:rPr>
        <w:t>mo em termos percentuais, sendo que do total de suas importações do Brasil aproximadamente 15% estão relacionadas ao agronegócio, bem abaixo da média mundial de 38%.</w:t>
      </w:r>
      <w:r w:rsidRPr="00D8754C">
        <w:rPr>
          <w:rFonts w:cs="Times New Roman"/>
        </w:rPr>
        <w:t xml:space="preserve">  </w:t>
      </w:r>
    </w:p>
    <w:p w14:paraId="2713D6D7" w14:textId="18289439" w:rsidR="00207DCD" w:rsidRPr="00D8754C" w:rsidRDefault="00CD04E6" w:rsidP="00D8754C">
      <w:pPr>
        <w:pStyle w:val="Standard"/>
        <w:ind w:firstLine="709"/>
        <w:jc w:val="both"/>
        <w:rPr>
          <w:rFonts w:cs="Times New Roman"/>
        </w:rPr>
      </w:pPr>
      <w:r w:rsidRPr="00D8754C">
        <w:rPr>
          <w:rFonts w:cs="Times New Roman"/>
        </w:rPr>
        <w:t xml:space="preserve">Do cruzamento de dados entre o Ministério da Agricultura, Pecuário e Abastecimento e </w:t>
      </w:r>
      <w:r w:rsidR="00EB7458" w:rsidRPr="00EB7458">
        <w:rPr>
          <w:rFonts w:cs="Times New Roman"/>
        </w:rPr>
        <w:t>Secretaria Especial de Comércio Exterior e Assuntos Internacionais</w:t>
      </w:r>
      <w:r w:rsidR="00EB7458">
        <w:rPr>
          <w:rFonts w:cs="Times New Roman"/>
        </w:rPr>
        <w:t>,</w:t>
      </w:r>
      <w:r w:rsidRPr="00D8754C">
        <w:rPr>
          <w:rFonts w:cs="Times New Roman"/>
        </w:rPr>
        <w:t xml:space="preserve"> extrai-se uma limitação deste trabalho, que é a impossibilidade em se destacar as exportações de maquinário agropecuário e buscar </w:t>
      </w:r>
      <w:r w:rsidR="00CA6088">
        <w:rPr>
          <w:rFonts w:cs="Times New Roman"/>
        </w:rPr>
        <w:t>alocá-lo</w:t>
      </w:r>
      <w:r w:rsidR="00EB7458">
        <w:rPr>
          <w:rFonts w:cs="Times New Roman"/>
        </w:rPr>
        <w:t xml:space="preserve"> </w:t>
      </w:r>
      <w:r w:rsidRPr="00D8754C">
        <w:rPr>
          <w:rFonts w:cs="Times New Roman"/>
        </w:rPr>
        <w:t>junto</w:t>
      </w:r>
      <w:r w:rsidR="00EB7458">
        <w:rPr>
          <w:rFonts w:cs="Times New Roman"/>
        </w:rPr>
        <w:t xml:space="preserve"> às exportações do agronegócio. </w:t>
      </w:r>
    </w:p>
    <w:p w14:paraId="2AFF69D1" w14:textId="77777777" w:rsidR="00207DCD" w:rsidRPr="00D8754C" w:rsidRDefault="00207DCD" w:rsidP="00D8754C">
      <w:pPr>
        <w:pStyle w:val="Standard"/>
        <w:ind w:firstLine="709"/>
        <w:jc w:val="both"/>
        <w:rPr>
          <w:rFonts w:cs="Times New Roman"/>
        </w:rPr>
      </w:pPr>
    </w:p>
    <w:p w14:paraId="41C0CF79" w14:textId="77777777" w:rsidR="00D8754C" w:rsidRDefault="00D8754C" w:rsidP="00D8754C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CONCLUSÕES: </w:t>
      </w:r>
    </w:p>
    <w:p w14:paraId="1CE429A1" w14:textId="77777777" w:rsidR="00D8754C" w:rsidRDefault="00D8754C" w:rsidP="00D8754C">
      <w:pPr>
        <w:jc w:val="both"/>
        <w:rPr>
          <w:rFonts w:eastAsia="Times New Roman"/>
          <w:color w:val="000000" w:themeColor="text1"/>
        </w:rPr>
      </w:pPr>
    </w:p>
    <w:p w14:paraId="781DC2B4" w14:textId="77777777" w:rsidR="00D8754C" w:rsidRPr="00F56AD2" w:rsidRDefault="00D8754C" w:rsidP="00D8754C">
      <w:pPr>
        <w:ind w:firstLine="709"/>
        <w:jc w:val="both"/>
        <w:rPr>
          <w:rFonts w:eastAsia="Times New Roman"/>
          <w:color w:val="000000" w:themeColor="text1"/>
        </w:rPr>
      </w:pPr>
      <w:r w:rsidRPr="00F56AD2">
        <w:rPr>
          <w:rFonts w:eastAsia="Times New Roman"/>
          <w:color w:val="000000" w:themeColor="text1"/>
        </w:rPr>
        <w:t xml:space="preserve">Destarte o processo de afastamento realizado pelo Brasil a partir de 2016 dos seus parceiros do Mercosul e das relações sul-sul global no geral, conclui-se que as relações institucionais dentre ambos já haviam amadurecido o suficiente para evitar que uma eventual ruptura de governos desconstruísse tudo que havia sido estruturado previamente. </w:t>
      </w:r>
    </w:p>
    <w:p w14:paraId="28C35C97" w14:textId="77777777" w:rsidR="00D8754C" w:rsidRPr="00F56AD2" w:rsidRDefault="00D8754C" w:rsidP="00D8754C">
      <w:pPr>
        <w:jc w:val="both"/>
        <w:rPr>
          <w:rFonts w:eastAsia="Times New Roman"/>
          <w:color w:val="000000" w:themeColor="text1"/>
        </w:rPr>
      </w:pPr>
      <w:r w:rsidRPr="00F56AD2">
        <w:rPr>
          <w:rFonts w:eastAsia="Times New Roman"/>
          <w:color w:val="000000" w:themeColor="text1"/>
        </w:rPr>
        <w:tab/>
        <w:t xml:space="preserve">Conclui-se também que o projeto de integração do Mercosul, ainda recente e não priorizado pelo Brasil ao longo dos últimos seis anos, tem o potencial para gerar novos negócios ao país, em especial nas atividades relacionadas a cadeia produtiva do agronegócio, área onde a região claramente destoa negativamente como destino exportador em comparação a média mundial das vendas do Brasil. As causas de tal situação bem como as formas de contorná-las certamente são temas interessantes para um estudo mais aprofundado. </w:t>
      </w:r>
    </w:p>
    <w:p w14:paraId="69C3E797" w14:textId="7724E9F2" w:rsidR="00D8754C" w:rsidRDefault="00D8754C" w:rsidP="00D8754C">
      <w:pPr>
        <w:ind w:firstLine="709"/>
        <w:jc w:val="both"/>
        <w:rPr>
          <w:rFonts w:eastAsia="Times New Roman"/>
          <w:color w:val="000000" w:themeColor="text1"/>
        </w:rPr>
      </w:pPr>
      <w:r w:rsidRPr="00F56AD2">
        <w:rPr>
          <w:rFonts w:eastAsia="Times New Roman"/>
          <w:color w:val="000000" w:themeColor="text1"/>
        </w:rPr>
        <w:t>Por fim, há de se registrar que a mera existência de uma tarifa comum externa e, a princípio, da união aduaneira, apenas por si mesmas não tem dito a capacidade de possibilitar que o Brasil amplie para o bloco os mesmos percentuais de agronegócios realizados com outras partes do mundo, havendo portanto um campo aberto para ser melhor trabalhado pelos agentes econômicos e o Estado brasileiro juntos aos seus parceiros intrabloco.</w:t>
      </w:r>
    </w:p>
    <w:p w14:paraId="1B988AC9" w14:textId="77777777" w:rsidR="00D8754C" w:rsidRDefault="00D8754C" w:rsidP="00D8754C">
      <w:pPr>
        <w:jc w:val="both"/>
        <w:rPr>
          <w:rFonts w:eastAsia="Times New Roman"/>
          <w:color w:val="000000" w:themeColor="text1"/>
        </w:rPr>
      </w:pPr>
    </w:p>
    <w:p w14:paraId="46110F52" w14:textId="720E5785" w:rsidR="00D8754C" w:rsidRDefault="00CA6088" w:rsidP="00D8754C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PALAVRAS-CHAVE</w:t>
      </w:r>
      <w:r w:rsidR="00D8754C">
        <w:rPr>
          <w:rFonts w:eastAsia="Times New Roman"/>
          <w:color w:val="000000" w:themeColor="text1"/>
        </w:rPr>
        <w:t xml:space="preserve">: Mercosul; Integração econômica; Agronegócio; Capitalismo. </w:t>
      </w:r>
    </w:p>
    <w:p w14:paraId="17858F83" w14:textId="77777777" w:rsidR="00D8754C" w:rsidRDefault="00D8754C" w:rsidP="00D8754C">
      <w:pPr>
        <w:jc w:val="both"/>
        <w:rPr>
          <w:rFonts w:eastAsia="Times New Roman"/>
          <w:color w:val="000000" w:themeColor="text1"/>
        </w:rPr>
      </w:pPr>
    </w:p>
    <w:p w14:paraId="22D831A2" w14:textId="56C8E596" w:rsidR="00D8754C" w:rsidRPr="00D760CC" w:rsidRDefault="00D8754C" w:rsidP="00D760CC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REFERÊNCIAS BIBLIOGRÁFICAS:</w:t>
      </w:r>
    </w:p>
    <w:p w14:paraId="0CD2FB86" w14:textId="1D0138C0" w:rsidR="005079B9" w:rsidRPr="00D8754C" w:rsidRDefault="005079B9" w:rsidP="00D8754C">
      <w:p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ArialMT"/>
          <w:color w:val="auto"/>
        </w:rPr>
      </w:pPr>
      <w:r w:rsidRPr="00D8754C">
        <w:rPr>
          <w:rFonts w:eastAsia="ArialMT"/>
          <w:color w:val="auto"/>
        </w:rPr>
        <w:t xml:space="preserve">CONTINI, Elísio, et al.. </w:t>
      </w:r>
      <w:r w:rsidRPr="00D8754C">
        <w:rPr>
          <w:rFonts w:eastAsia="ArialMT"/>
          <w:i/>
          <w:color w:val="auto"/>
        </w:rPr>
        <w:t>Evolução recente e tendências</w:t>
      </w:r>
      <w:r>
        <w:rPr>
          <w:rFonts w:eastAsia="MS Mincho"/>
          <w:i/>
          <w:color w:val="auto"/>
        </w:rPr>
        <w:t xml:space="preserve"> </w:t>
      </w:r>
      <w:r w:rsidRPr="00D8754C">
        <w:rPr>
          <w:rFonts w:eastAsia="ArialMT"/>
          <w:i/>
          <w:color w:val="auto"/>
        </w:rPr>
        <w:t>do agronegócio</w:t>
      </w:r>
      <w:r w:rsidRPr="00D8754C">
        <w:rPr>
          <w:rFonts w:eastAsia="ArialMT"/>
          <w:color w:val="auto"/>
        </w:rPr>
        <w:t xml:space="preserve">. Revista Política Agrícola. Ano XV – No 1 – Jan./Fev./Mar. 2006. </w:t>
      </w:r>
    </w:p>
    <w:p w14:paraId="1F0A8884" w14:textId="1F88B85A" w:rsidR="001D47F7" w:rsidRPr="00D8754C" w:rsidRDefault="00C05B46" w:rsidP="00D8754C">
      <w:p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ArialMT"/>
          <w:color w:val="auto"/>
        </w:rPr>
      </w:pPr>
      <w:r w:rsidRPr="00D8754C">
        <w:rPr>
          <w:rFonts w:eastAsia="ArialMT"/>
          <w:color w:val="auto"/>
        </w:rPr>
        <w:t>GONÇALVES, José Sidnei</w:t>
      </w:r>
      <w:r w:rsidR="001D47F7" w:rsidRPr="00D8754C">
        <w:rPr>
          <w:rFonts w:eastAsia="ArialMT"/>
          <w:color w:val="auto"/>
        </w:rPr>
        <w:t xml:space="preserve">. </w:t>
      </w:r>
      <w:r w:rsidR="001D47F7" w:rsidRPr="00D8754C">
        <w:rPr>
          <w:rFonts w:eastAsia="ArialMT"/>
          <w:i/>
          <w:color w:val="auto"/>
        </w:rPr>
        <w:t>Agricultura sob as égide do capital financeiro</w:t>
      </w:r>
      <w:r w:rsidR="001D47F7" w:rsidRPr="00D8754C">
        <w:rPr>
          <w:rFonts w:eastAsia="ArialMT"/>
          <w:color w:val="auto"/>
        </w:rPr>
        <w:t>. Informações Econômica, São Paulo. V. 35. Num. 4</w:t>
      </w:r>
      <w:r w:rsidRPr="00D8754C">
        <w:rPr>
          <w:rFonts w:eastAsia="ArialMT"/>
          <w:color w:val="auto"/>
        </w:rPr>
        <w:t>, 2005</w:t>
      </w:r>
      <w:r w:rsidR="001D47F7" w:rsidRPr="00D8754C">
        <w:rPr>
          <w:rFonts w:eastAsia="ArialMT"/>
          <w:color w:val="auto"/>
        </w:rPr>
        <w:t>.</w:t>
      </w:r>
    </w:p>
    <w:p w14:paraId="7C14BCCE" w14:textId="15256412" w:rsidR="00BD7CEA" w:rsidRPr="00D8754C" w:rsidRDefault="00BD7CEA" w:rsidP="00D8754C">
      <w:p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ArialMT"/>
          <w:bCs/>
          <w:color w:val="auto"/>
        </w:rPr>
      </w:pPr>
      <w:r w:rsidRPr="00D8754C">
        <w:rPr>
          <w:rFonts w:eastAsia="ArialMT"/>
          <w:color w:val="auto"/>
        </w:rPr>
        <w:t xml:space="preserve">MARANHÃO, </w:t>
      </w:r>
      <w:r w:rsidRPr="00D8754C">
        <w:rPr>
          <w:rFonts w:eastAsia="ArialMT"/>
          <w:bCs/>
          <w:color w:val="auto"/>
        </w:rPr>
        <w:t xml:space="preserve">Rebecca Lima Albuquerque ; FILHO, José Eustáquio Ribeiro Vieira.  </w:t>
      </w:r>
      <w:r w:rsidRPr="00D8754C">
        <w:rPr>
          <w:rFonts w:eastAsia="ArialMT"/>
          <w:bCs/>
          <w:i/>
          <w:color w:val="auto"/>
        </w:rPr>
        <w:t>A inserção internacional do agronegócio brasileiro.</w:t>
      </w:r>
      <w:r w:rsidRPr="00D8754C">
        <w:rPr>
          <w:rFonts w:eastAsia="ArialMT"/>
          <w:bCs/>
          <w:color w:val="auto"/>
        </w:rPr>
        <w:t xml:space="preserve"> </w:t>
      </w:r>
      <w:r w:rsidRPr="00D8754C">
        <w:rPr>
          <w:rFonts w:eastAsia="ArialMT"/>
          <w:color w:val="auto"/>
        </w:rPr>
        <w:t>Texto para discussão / Instituto de Pesquisa Econômica Aplicada.- Brasília : Rio de Janeiro : Ipea , ago. 2017. ISSN 1415-4765.</w:t>
      </w:r>
    </w:p>
    <w:p w14:paraId="17D36A38" w14:textId="281B1789" w:rsidR="00FD422D" w:rsidRPr="00D8754C" w:rsidRDefault="0060000C" w:rsidP="00D8754C">
      <w:p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Hyperlink"/>
          <w:rFonts w:eastAsia="ArialMT"/>
          <w:color w:val="auto"/>
          <w:u w:val="none"/>
        </w:rPr>
      </w:pPr>
      <w:r w:rsidRPr="00D8754C">
        <w:rPr>
          <w:rStyle w:val="Hyperlink"/>
          <w:rFonts w:eastAsia="ArialMT"/>
          <w:color w:val="auto"/>
          <w:u w:val="none"/>
        </w:rPr>
        <w:t xml:space="preserve">MINISTÉRIO DA AGRICULTURA, PECUÁRIA E ABSTECIMENTO. </w:t>
      </w:r>
      <w:r w:rsidRPr="00D8754C">
        <w:rPr>
          <w:rStyle w:val="Hyperlink"/>
          <w:rFonts w:eastAsia="ArialMT"/>
          <w:i/>
          <w:color w:val="auto"/>
          <w:u w:val="none"/>
        </w:rPr>
        <w:t>Estatísticas do comércio exterior</w:t>
      </w:r>
      <w:r w:rsidRPr="00D8754C">
        <w:rPr>
          <w:rStyle w:val="Hyperlink"/>
          <w:rFonts w:eastAsia="ArialMT"/>
          <w:color w:val="auto"/>
          <w:u w:val="none"/>
        </w:rPr>
        <w:t xml:space="preserve">. Brasília. Disponível em </w:t>
      </w:r>
      <w:hyperlink r:id="rId9" w:history="1">
        <w:r w:rsidRPr="00D8754C">
          <w:rPr>
            <w:rStyle w:val="Hyperlink"/>
            <w:rFonts w:eastAsia="ArialMT"/>
          </w:rPr>
          <w:t>http://www.agricultura.gov.br/assuntos/relacoes-internacionais/estatisticas-de-comercio-exterior</w:t>
        </w:r>
      </w:hyperlink>
      <w:r w:rsidRPr="00D8754C">
        <w:rPr>
          <w:rStyle w:val="Hyperlink"/>
          <w:rFonts w:eastAsia="ArialMT"/>
          <w:color w:val="auto"/>
          <w:u w:val="none"/>
        </w:rPr>
        <w:t xml:space="preserve"> . Acesso em 22 </w:t>
      </w:r>
      <w:r w:rsidR="00D760CC">
        <w:rPr>
          <w:rStyle w:val="Hyperlink"/>
          <w:rFonts w:eastAsia="ArialMT"/>
          <w:color w:val="auto"/>
          <w:u w:val="none"/>
        </w:rPr>
        <w:t>mar</w:t>
      </w:r>
      <w:r w:rsidRPr="00D8754C">
        <w:rPr>
          <w:rStyle w:val="Hyperlink"/>
          <w:rFonts w:eastAsia="ArialMT"/>
          <w:color w:val="auto"/>
          <w:u w:val="none"/>
        </w:rPr>
        <w:t>. 20</w:t>
      </w:r>
      <w:r w:rsidR="00D760CC">
        <w:rPr>
          <w:rStyle w:val="Hyperlink"/>
          <w:rFonts w:eastAsia="ArialMT"/>
          <w:color w:val="auto"/>
          <w:u w:val="none"/>
        </w:rPr>
        <w:t>22</w:t>
      </w:r>
      <w:r w:rsidRPr="00D8754C">
        <w:rPr>
          <w:rStyle w:val="Hyperlink"/>
          <w:rFonts w:eastAsia="ArialMT"/>
          <w:color w:val="auto"/>
          <w:u w:val="none"/>
        </w:rPr>
        <w:t>.</w:t>
      </w:r>
    </w:p>
    <w:p w14:paraId="6D1A87B4" w14:textId="697AC111" w:rsidR="000065BE" w:rsidRDefault="006C1C98" w:rsidP="00D8754C">
      <w:p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Hyperlink"/>
          <w:rFonts w:eastAsia="ArialMT"/>
          <w:color w:val="auto"/>
          <w:u w:val="none"/>
        </w:rPr>
      </w:pPr>
      <w:r w:rsidRPr="00D8754C">
        <w:rPr>
          <w:rStyle w:val="Hyperlink"/>
          <w:rFonts w:eastAsia="ArialMT"/>
          <w:color w:val="auto"/>
          <w:u w:val="none"/>
        </w:rPr>
        <w:t>MINISTÉRIO DA</w:t>
      </w:r>
      <w:r w:rsidR="00C74671">
        <w:rPr>
          <w:rStyle w:val="Hyperlink"/>
          <w:rFonts w:eastAsia="ArialMT"/>
          <w:color w:val="auto"/>
          <w:u w:val="none"/>
        </w:rPr>
        <w:t xml:space="preserve"> ECONOMIA</w:t>
      </w:r>
      <w:r w:rsidRPr="00D8754C">
        <w:rPr>
          <w:rStyle w:val="Hyperlink"/>
          <w:rFonts w:eastAsia="ArialMT"/>
          <w:color w:val="auto"/>
          <w:u w:val="none"/>
        </w:rPr>
        <w:t>.</w:t>
      </w:r>
      <w:r w:rsidR="00C74671">
        <w:rPr>
          <w:rStyle w:val="Hyperlink"/>
          <w:rFonts w:eastAsia="ArialMT"/>
          <w:color w:val="auto"/>
          <w:u w:val="none"/>
        </w:rPr>
        <w:t xml:space="preserve"> </w:t>
      </w:r>
      <w:r w:rsidR="00C74671" w:rsidRPr="00C74671">
        <w:rPr>
          <w:rStyle w:val="Hyperlink"/>
          <w:rFonts w:eastAsia="ArialMT"/>
          <w:i/>
          <w:iCs/>
          <w:color w:val="auto"/>
          <w:u w:val="none"/>
        </w:rPr>
        <w:t>Secretaria Especial de Comércio Exterior e Assuntos Internacionais</w:t>
      </w:r>
      <w:r w:rsidR="00C74671">
        <w:rPr>
          <w:rStyle w:val="Hyperlink"/>
          <w:rFonts w:eastAsia="ArialMT"/>
          <w:i/>
          <w:color w:val="auto"/>
          <w:u w:val="none"/>
        </w:rPr>
        <w:t xml:space="preserve"> </w:t>
      </w:r>
      <w:r w:rsidRPr="00D8754C">
        <w:rPr>
          <w:rStyle w:val="Hyperlink"/>
          <w:rFonts w:eastAsia="ArialMT"/>
          <w:color w:val="auto"/>
          <w:u w:val="none"/>
        </w:rPr>
        <w:t xml:space="preserve">. Brasília. Disponível em </w:t>
      </w:r>
      <w:hyperlink r:id="rId10" w:history="1">
        <w:r w:rsidR="00C74671" w:rsidRPr="00525D85">
          <w:rPr>
            <w:rStyle w:val="Hyperlink"/>
            <w:rFonts w:eastAsia="ArialMT"/>
          </w:rPr>
          <w:t>https://www.gov.br/produtividade-e-comercio-exterior/pt-br/comercio-exterior-e-assuntos-internacionais</w:t>
        </w:r>
      </w:hyperlink>
      <w:r w:rsidR="00C74671">
        <w:rPr>
          <w:rStyle w:val="Hyperlink"/>
          <w:rFonts w:eastAsia="ArialMT"/>
          <w:color w:val="auto"/>
          <w:u w:val="none"/>
        </w:rPr>
        <w:t xml:space="preserve"> </w:t>
      </w:r>
      <w:r w:rsidRPr="00D8754C">
        <w:rPr>
          <w:rStyle w:val="Hyperlink"/>
          <w:rFonts w:eastAsia="ArialMT"/>
          <w:color w:val="auto"/>
          <w:u w:val="none"/>
        </w:rPr>
        <w:t xml:space="preserve"> . Acesso em 23 </w:t>
      </w:r>
      <w:r w:rsidR="00D760CC">
        <w:rPr>
          <w:rStyle w:val="Hyperlink"/>
          <w:rFonts w:eastAsia="ArialMT"/>
          <w:color w:val="auto"/>
          <w:u w:val="none"/>
        </w:rPr>
        <w:t>mar. 2022</w:t>
      </w:r>
      <w:r w:rsidRPr="00D8754C">
        <w:rPr>
          <w:rStyle w:val="Hyperlink"/>
          <w:rFonts w:eastAsia="ArialMT"/>
          <w:color w:val="auto"/>
          <w:u w:val="none"/>
        </w:rPr>
        <w:t xml:space="preserve">. </w:t>
      </w:r>
    </w:p>
    <w:p w14:paraId="5E8B60FF" w14:textId="52C8F733" w:rsidR="000351A9" w:rsidRDefault="000351A9" w:rsidP="000351A9">
      <w:p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ArialMT"/>
          <w:color w:val="auto"/>
        </w:rPr>
      </w:pPr>
      <w:r>
        <w:rPr>
          <w:rFonts w:eastAsia="ArialMT"/>
          <w:color w:val="auto"/>
        </w:rPr>
        <w:t xml:space="preserve">NUNES </w:t>
      </w:r>
      <w:r w:rsidRPr="00D8754C">
        <w:rPr>
          <w:rFonts w:eastAsia="ArialMT"/>
          <w:color w:val="auto"/>
        </w:rPr>
        <w:t xml:space="preserve">JUNIOR, Amandino Teixeira Nunes (2010). </w:t>
      </w:r>
      <w:r w:rsidRPr="00D8754C">
        <w:rPr>
          <w:rFonts w:eastAsia="ArialMT"/>
          <w:i/>
          <w:color w:val="auto"/>
        </w:rPr>
        <w:t>Parlamento do Mercosul: sobre a necessidade da definição de pressupostos e da adoção de procedimentos para sua criação</w:t>
      </w:r>
      <w:r w:rsidRPr="00D8754C">
        <w:rPr>
          <w:rFonts w:eastAsia="ArialMT"/>
          <w:color w:val="auto"/>
        </w:rPr>
        <w:t xml:space="preserve">. Rio de Janeiro: Editora Lumen Júris. </w:t>
      </w:r>
    </w:p>
    <w:p w14:paraId="1B729DCF" w14:textId="0F39A74B" w:rsidR="00130C24" w:rsidRPr="00D8754C" w:rsidRDefault="00BE29CD" w:rsidP="00BE2582">
      <w:p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ArialMT"/>
          <w:color w:val="auto"/>
        </w:rPr>
      </w:pPr>
      <w:r>
        <w:rPr>
          <w:rStyle w:val="Hyperlink"/>
          <w:rFonts w:eastAsia="ArialMT"/>
          <w:color w:val="auto"/>
          <w:u w:val="none"/>
        </w:rPr>
        <w:t>SILVEIRA, Rafael Bernardo. Parlamento do Mercosul: gênese, avanços recuso e a influência na superestrutura do Mercosul</w:t>
      </w:r>
      <w:r w:rsidRPr="00BE29CD">
        <w:rPr>
          <w:rStyle w:val="Hyperlink"/>
          <w:rFonts w:eastAsia="ArialMT"/>
          <w:color w:val="auto"/>
          <w:u w:val="none"/>
        </w:rPr>
        <w:t>. Florianópolis: 20</w:t>
      </w:r>
      <w:r>
        <w:rPr>
          <w:rStyle w:val="Hyperlink"/>
          <w:rFonts w:eastAsia="ArialMT"/>
          <w:color w:val="auto"/>
          <w:u w:val="none"/>
        </w:rPr>
        <w:t>21,</w:t>
      </w:r>
      <w:r w:rsidRPr="00BE29CD">
        <w:rPr>
          <w:rStyle w:val="Hyperlink"/>
          <w:rFonts w:eastAsia="ArialMT"/>
          <w:color w:val="auto"/>
          <w:u w:val="none"/>
        </w:rPr>
        <w:t xml:space="preserve"> </w:t>
      </w:r>
      <w:r>
        <w:rPr>
          <w:rStyle w:val="Hyperlink"/>
          <w:rFonts w:eastAsia="ArialMT"/>
          <w:color w:val="auto"/>
          <w:u w:val="none"/>
        </w:rPr>
        <w:t>412</w:t>
      </w:r>
      <w:r w:rsidRPr="00BE29CD">
        <w:rPr>
          <w:rStyle w:val="Hyperlink"/>
          <w:rFonts w:eastAsia="ArialMT"/>
          <w:color w:val="auto"/>
          <w:u w:val="none"/>
        </w:rPr>
        <w:t xml:space="preserve"> p. Tese de doutorado</w:t>
      </w:r>
      <w:r w:rsidR="00BE2582">
        <w:rPr>
          <w:rStyle w:val="Hyperlink"/>
          <w:rFonts w:eastAsia="ArialMT"/>
          <w:color w:val="auto"/>
          <w:u w:val="none"/>
        </w:rPr>
        <w:t>.</w:t>
      </w:r>
    </w:p>
    <w:sectPr w:rsidR="00130C24" w:rsidRPr="00D8754C" w:rsidSect="00BD4FA6"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D138" w14:textId="77777777" w:rsidR="00C37D97" w:rsidRDefault="00C37D97">
      <w:r>
        <w:separator/>
      </w:r>
    </w:p>
  </w:endnote>
  <w:endnote w:type="continuationSeparator" w:id="0">
    <w:p w14:paraId="06809AFA" w14:textId="77777777" w:rsidR="00C37D97" w:rsidRDefault="00C3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-Identity-H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4DA6" w14:textId="77777777" w:rsidR="00C37D97" w:rsidRDefault="00C37D97">
      <w:r>
        <w:separator/>
      </w:r>
    </w:p>
  </w:footnote>
  <w:footnote w:type="continuationSeparator" w:id="0">
    <w:p w14:paraId="26C06F7F" w14:textId="77777777" w:rsidR="00C37D97" w:rsidRDefault="00C37D97">
      <w:r>
        <w:continuationSeparator/>
      </w:r>
    </w:p>
  </w:footnote>
  <w:footnote w:id="1">
    <w:p w14:paraId="12104CA4" w14:textId="0A0F9157" w:rsidR="00444EEA" w:rsidRPr="00444EEA" w:rsidRDefault="00444EEA" w:rsidP="009727EB">
      <w:pPr>
        <w:pStyle w:val="Textodenotaderodap"/>
        <w:jc w:val="both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="004A4BD7">
        <w:rPr>
          <w:lang w:val="pt-PT"/>
        </w:rPr>
        <w:t xml:space="preserve">Pesquisa </w:t>
      </w:r>
      <w:r w:rsidR="009727EB">
        <w:rPr>
          <w:lang w:val="pt-PT"/>
        </w:rPr>
        <w:t xml:space="preserve">com financiamento </w:t>
      </w:r>
      <w:r w:rsidR="004A4BD7">
        <w:rPr>
          <w:lang w:val="pt-PT"/>
        </w:rPr>
        <w:t>do projeto “Dinâmica geoecon</w:t>
      </w:r>
      <w:r w:rsidR="009727EB">
        <w:rPr>
          <w:lang w:val="pt-PT"/>
        </w:rPr>
        <w:t>ô</w:t>
      </w:r>
      <w:r w:rsidR="004A4BD7">
        <w:rPr>
          <w:lang w:val="pt-PT"/>
        </w:rPr>
        <w:t xml:space="preserve">mica dos agronegócios de carnes e grãos no Brasil pós 2003” (CNPQ </w:t>
      </w:r>
      <w:r w:rsidR="009727EB">
        <w:rPr>
          <w:lang w:val="pt-PT"/>
        </w:rPr>
        <w:t xml:space="preserve">processo 403718/2021-0), </w:t>
      </w:r>
      <w:r w:rsidR="004A4BD7">
        <w:rPr>
          <w:lang w:val="pt-PT"/>
        </w:rPr>
        <w:t xml:space="preserve">e do estágio de pós doutorado deste autor no Departamento de </w:t>
      </w:r>
      <w:r w:rsidR="009727EB">
        <w:rPr>
          <w:lang w:val="pt-PT"/>
        </w:rPr>
        <w:t>Geociências da Universidade Federal de Santa Catarina.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A9A"/>
    <w:multiLevelType w:val="hybridMultilevel"/>
    <w:tmpl w:val="EDF0B410"/>
    <w:lvl w:ilvl="0" w:tplc="6A7ED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EE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2E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CD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4B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0A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8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CF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E6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A67B6F"/>
    <w:multiLevelType w:val="hybridMultilevel"/>
    <w:tmpl w:val="3A369B02"/>
    <w:lvl w:ilvl="0" w:tplc="00DC7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C0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E0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0B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C8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6A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AA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44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42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FA7913"/>
    <w:multiLevelType w:val="multilevel"/>
    <w:tmpl w:val="305ECC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43213AA"/>
    <w:multiLevelType w:val="hybridMultilevel"/>
    <w:tmpl w:val="085AD96A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B236BBB"/>
    <w:multiLevelType w:val="hybridMultilevel"/>
    <w:tmpl w:val="50100636"/>
    <w:lvl w:ilvl="0" w:tplc="7FC06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88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E8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87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CE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C0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2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C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0A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C664D1"/>
    <w:multiLevelType w:val="multilevel"/>
    <w:tmpl w:val="C1603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FE55A33"/>
    <w:multiLevelType w:val="hybridMultilevel"/>
    <w:tmpl w:val="5D1A441E"/>
    <w:lvl w:ilvl="0" w:tplc="87D6C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E1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8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6F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3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41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A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48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A7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95119585">
    <w:abstractNumId w:val="5"/>
  </w:num>
  <w:num w:numId="2" w16cid:durableId="73166697">
    <w:abstractNumId w:val="2"/>
  </w:num>
  <w:num w:numId="3" w16cid:durableId="1101879278">
    <w:abstractNumId w:val="4"/>
  </w:num>
  <w:num w:numId="4" w16cid:durableId="154230771">
    <w:abstractNumId w:val="6"/>
  </w:num>
  <w:num w:numId="5" w16cid:durableId="742489543">
    <w:abstractNumId w:val="1"/>
  </w:num>
  <w:num w:numId="6" w16cid:durableId="2130120305">
    <w:abstractNumId w:val="0"/>
  </w:num>
  <w:num w:numId="7" w16cid:durableId="205073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pt-PT" w:vendorID="64" w:dllVersion="6" w:nlCheck="1" w:checkStyle="0"/>
  <w:activeWritingStyle w:appName="MSWord" w:lang="pt-BR" w:vendorID="64" w:dllVersion="0" w:nlCheck="1" w:checkStyle="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E99"/>
    <w:rsid w:val="00000C01"/>
    <w:rsid w:val="000065BE"/>
    <w:rsid w:val="00031449"/>
    <w:rsid w:val="0003268E"/>
    <w:rsid w:val="0003289A"/>
    <w:rsid w:val="00034C31"/>
    <w:rsid w:val="000351A9"/>
    <w:rsid w:val="00044027"/>
    <w:rsid w:val="00050B57"/>
    <w:rsid w:val="000666C3"/>
    <w:rsid w:val="000A6991"/>
    <w:rsid w:val="000A6F6A"/>
    <w:rsid w:val="000C5531"/>
    <w:rsid w:val="000D730C"/>
    <w:rsid w:val="001026B4"/>
    <w:rsid w:val="001161CB"/>
    <w:rsid w:val="00120EF4"/>
    <w:rsid w:val="00124D6F"/>
    <w:rsid w:val="00130C24"/>
    <w:rsid w:val="001329A3"/>
    <w:rsid w:val="0014594A"/>
    <w:rsid w:val="0015074E"/>
    <w:rsid w:val="0017061E"/>
    <w:rsid w:val="00180CDB"/>
    <w:rsid w:val="00193C12"/>
    <w:rsid w:val="001B0644"/>
    <w:rsid w:val="001B3A58"/>
    <w:rsid w:val="001B726D"/>
    <w:rsid w:val="001B78EB"/>
    <w:rsid w:val="001C13DF"/>
    <w:rsid w:val="001C3476"/>
    <w:rsid w:val="001D47F7"/>
    <w:rsid w:val="001E35D3"/>
    <w:rsid w:val="001F7E99"/>
    <w:rsid w:val="00207DCD"/>
    <w:rsid w:val="00210E7D"/>
    <w:rsid w:val="00213B4A"/>
    <w:rsid w:val="00213BC8"/>
    <w:rsid w:val="00215890"/>
    <w:rsid w:val="00233444"/>
    <w:rsid w:val="002352C8"/>
    <w:rsid w:val="00251FE1"/>
    <w:rsid w:val="002576C7"/>
    <w:rsid w:val="00270745"/>
    <w:rsid w:val="002832EB"/>
    <w:rsid w:val="00291DEF"/>
    <w:rsid w:val="002A42B9"/>
    <w:rsid w:val="002A4873"/>
    <w:rsid w:val="002B48D2"/>
    <w:rsid w:val="002D2649"/>
    <w:rsid w:val="002E39C1"/>
    <w:rsid w:val="002F645C"/>
    <w:rsid w:val="00307253"/>
    <w:rsid w:val="00311B76"/>
    <w:rsid w:val="00312A87"/>
    <w:rsid w:val="0034165E"/>
    <w:rsid w:val="00341B59"/>
    <w:rsid w:val="00342546"/>
    <w:rsid w:val="003478DE"/>
    <w:rsid w:val="00357B91"/>
    <w:rsid w:val="00362C06"/>
    <w:rsid w:val="00363182"/>
    <w:rsid w:val="00386A1E"/>
    <w:rsid w:val="00394482"/>
    <w:rsid w:val="00397533"/>
    <w:rsid w:val="003D1800"/>
    <w:rsid w:val="00401D86"/>
    <w:rsid w:val="0041292D"/>
    <w:rsid w:val="00415201"/>
    <w:rsid w:val="00417D53"/>
    <w:rsid w:val="00432A36"/>
    <w:rsid w:val="004364FE"/>
    <w:rsid w:val="00444EEA"/>
    <w:rsid w:val="00447948"/>
    <w:rsid w:val="00447FE7"/>
    <w:rsid w:val="00453921"/>
    <w:rsid w:val="0048172D"/>
    <w:rsid w:val="004868BA"/>
    <w:rsid w:val="0049027D"/>
    <w:rsid w:val="00492DEA"/>
    <w:rsid w:val="004A2EC9"/>
    <w:rsid w:val="004A4767"/>
    <w:rsid w:val="004A4BD7"/>
    <w:rsid w:val="004A79B9"/>
    <w:rsid w:val="004B0684"/>
    <w:rsid w:val="004D5B67"/>
    <w:rsid w:val="004F1564"/>
    <w:rsid w:val="005079B9"/>
    <w:rsid w:val="00515481"/>
    <w:rsid w:val="00557B14"/>
    <w:rsid w:val="0057354B"/>
    <w:rsid w:val="00573784"/>
    <w:rsid w:val="00574CB9"/>
    <w:rsid w:val="0059573B"/>
    <w:rsid w:val="005B4EF1"/>
    <w:rsid w:val="005D1682"/>
    <w:rsid w:val="005D2DF7"/>
    <w:rsid w:val="005D2E76"/>
    <w:rsid w:val="005D6918"/>
    <w:rsid w:val="005F1C65"/>
    <w:rsid w:val="005F4353"/>
    <w:rsid w:val="0060000C"/>
    <w:rsid w:val="0060124C"/>
    <w:rsid w:val="00604632"/>
    <w:rsid w:val="0061314E"/>
    <w:rsid w:val="0062571A"/>
    <w:rsid w:val="00632F4B"/>
    <w:rsid w:val="00637922"/>
    <w:rsid w:val="0064635B"/>
    <w:rsid w:val="00665108"/>
    <w:rsid w:val="00675034"/>
    <w:rsid w:val="00694E11"/>
    <w:rsid w:val="006A2C84"/>
    <w:rsid w:val="006A65EB"/>
    <w:rsid w:val="006C1C98"/>
    <w:rsid w:val="006D5157"/>
    <w:rsid w:val="006E1839"/>
    <w:rsid w:val="006E3434"/>
    <w:rsid w:val="006F1271"/>
    <w:rsid w:val="006F6B47"/>
    <w:rsid w:val="0070241D"/>
    <w:rsid w:val="007037C2"/>
    <w:rsid w:val="00704CB7"/>
    <w:rsid w:val="00707644"/>
    <w:rsid w:val="007115F6"/>
    <w:rsid w:val="0073527C"/>
    <w:rsid w:val="00741BD4"/>
    <w:rsid w:val="00743A76"/>
    <w:rsid w:val="0074664C"/>
    <w:rsid w:val="00751CEA"/>
    <w:rsid w:val="00785018"/>
    <w:rsid w:val="00786FDD"/>
    <w:rsid w:val="007E001C"/>
    <w:rsid w:val="007E7BB8"/>
    <w:rsid w:val="007F5042"/>
    <w:rsid w:val="00802D02"/>
    <w:rsid w:val="008150CA"/>
    <w:rsid w:val="0082329C"/>
    <w:rsid w:val="00825651"/>
    <w:rsid w:val="00825E53"/>
    <w:rsid w:val="00832FAE"/>
    <w:rsid w:val="00842B1A"/>
    <w:rsid w:val="00843734"/>
    <w:rsid w:val="00853524"/>
    <w:rsid w:val="0086126C"/>
    <w:rsid w:val="00876ECA"/>
    <w:rsid w:val="008825B5"/>
    <w:rsid w:val="00887AAF"/>
    <w:rsid w:val="008921BE"/>
    <w:rsid w:val="008B0206"/>
    <w:rsid w:val="008C02F9"/>
    <w:rsid w:val="008D2054"/>
    <w:rsid w:val="008D3AA7"/>
    <w:rsid w:val="008F2FE3"/>
    <w:rsid w:val="0090176E"/>
    <w:rsid w:val="00911862"/>
    <w:rsid w:val="00915B7B"/>
    <w:rsid w:val="00920FA4"/>
    <w:rsid w:val="0092388A"/>
    <w:rsid w:val="0093276D"/>
    <w:rsid w:val="00936C70"/>
    <w:rsid w:val="00941487"/>
    <w:rsid w:val="009727EB"/>
    <w:rsid w:val="009751DA"/>
    <w:rsid w:val="009815FA"/>
    <w:rsid w:val="00984820"/>
    <w:rsid w:val="0099448F"/>
    <w:rsid w:val="009959DE"/>
    <w:rsid w:val="009C18D4"/>
    <w:rsid w:val="009E0152"/>
    <w:rsid w:val="009E23A1"/>
    <w:rsid w:val="009E535B"/>
    <w:rsid w:val="00A0588E"/>
    <w:rsid w:val="00A15209"/>
    <w:rsid w:val="00A273D1"/>
    <w:rsid w:val="00A337FC"/>
    <w:rsid w:val="00A33D2E"/>
    <w:rsid w:val="00A40CF6"/>
    <w:rsid w:val="00A44121"/>
    <w:rsid w:val="00A5232A"/>
    <w:rsid w:val="00A6698E"/>
    <w:rsid w:val="00A85AFE"/>
    <w:rsid w:val="00A93601"/>
    <w:rsid w:val="00AA3A66"/>
    <w:rsid w:val="00AB6A49"/>
    <w:rsid w:val="00AC05A7"/>
    <w:rsid w:val="00AC4088"/>
    <w:rsid w:val="00AC7FE7"/>
    <w:rsid w:val="00AD4E12"/>
    <w:rsid w:val="00AD73AB"/>
    <w:rsid w:val="00AE2A34"/>
    <w:rsid w:val="00AF5028"/>
    <w:rsid w:val="00AF5792"/>
    <w:rsid w:val="00B0034E"/>
    <w:rsid w:val="00B0702C"/>
    <w:rsid w:val="00B07AE2"/>
    <w:rsid w:val="00B23EF3"/>
    <w:rsid w:val="00B254C1"/>
    <w:rsid w:val="00B3545D"/>
    <w:rsid w:val="00B62AD9"/>
    <w:rsid w:val="00B66F09"/>
    <w:rsid w:val="00B7594D"/>
    <w:rsid w:val="00B76943"/>
    <w:rsid w:val="00B902B2"/>
    <w:rsid w:val="00B975FF"/>
    <w:rsid w:val="00BB5D22"/>
    <w:rsid w:val="00BC0939"/>
    <w:rsid w:val="00BC6920"/>
    <w:rsid w:val="00BD4FA6"/>
    <w:rsid w:val="00BD5E05"/>
    <w:rsid w:val="00BD7CEA"/>
    <w:rsid w:val="00BE2582"/>
    <w:rsid w:val="00BE29CD"/>
    <w:rsid w:val="00BE3773"/>
    <w:rsid w:val="00BE50DE"/>
    <w:rsid w:val="00BF05D9"/>
    <w:rsid w:val="00C05B46"/>
    <w:rsid w:val="00C14755"/>
    <w:rsid w:val="00C350E0"/>
    <w:rsid w:val="00C36C2E"/>
    <w:rsid w:val="00C37D97"/>
    <w:rsid w:val="00C423BB"/>
    <w:rsid w:val="00C42F47"/>
    <w:rsid w:val="00C43CA3"/>
    <w:rsid w:val="00C711D3"/>
    <w:rsid w:val="00C74671"/>
    <w:rsid w:val="00C74EC7"/>
    <w:rsid w:val="00C77F99"/>
    <w:rsid w:val="00CA6088"/>
    <w:rsid w:val="00CD04E6"/>
    <w:rsid w:val="00CD2FBC"/>
    <w:rsid w:val="00CD49B9"/>
    <w:rsid w:val="00CF45D1"/>
    <w:rsid w:val="00CF5F47"/>
    <w:rsid w:val="00D00B98"/>
    <w:rsid w:val="00D130CE"/>
    <w:rsid w:val="00D147A6"/>
    <w:rsid w:val="00D26EDC"/>
    <w:rsid w:val="00D42914"/>
    <w:rsid w:val="00D439ED"/>
    <w:rsid w:val="00D61FBD"/>
    <w:rsid w:val="00D671DD"/>
    <w:rsid w:val="00D71656"/>
    <w:rsid w:val="00D717BD"/>
    <w:rsid w:val="00D75D9D"/>
    <w:rsid w:val="00D760CC"/>
    <w:rsid w:val="00D86250"/>
    <w:rsid w:val="00D8754C"/>
    <w:rsid w:val="00D91BA6"/>
    <w:rsid w:val="00D97CF2"/>
    <w:rsid w:val="00DB21C3"/>
    <w:rsid w:val="00DC783A"/>
    <w:rsid w:val="00E063DA"/>
    <w:rsid w:val="00E10DCE"/>
    <w:rsid w:val="00E2069D"/>
    <w:rsid w:val="00E22FF4"/>
    <w:rsid w:val="00E35E72"/>
    <w:rsid w:val="00E37A3B"/>
    <w:rsid w:val="00E37CD9"/>
    <w:rsid w:val="00E4075C"/>
    <w:rsid w:val="00E567FB"/>
    <w:rsid w:val="00E66D5B"/>
    <w:rsid w:val="00E67204"/>
    <w:rsid w:val="00E81E4C"/>
    <w:rsid w:val="00E8560E"/>
    <w:rsid w:val="00EA32AC"/>
    <w:rsid w:val="00EA3337"/>
    <w:rsid w:val="00EA3B33"/>
    <w:rsid w:val="00EB2741"/>
    <w:rsid w:val="00EB588A"/>
    <w:rsid w:val="00EB62F9"/>
    <w:rsid w:val="00EB7458"/>
    <w:rsid w:val="00EE0E39"/>
    <w:rsid w:val="00EF141F"/>
    <w:rsid w:val="00EF59C7"/>
    <w:rsid w:val="00F12BF1"/>
    <w:rsid w:val="00F141C7"/>
    <w:rsid w:val="00F31B8F"/>
    <w:rsid w:val="00F46925"/>
    <w:rsid w:val="00F5227A"/>
    <w:rsid w:val="00F56027"/>
    <w:rsid w:val="00F56AD2"/>
    <w:rsid w:val="00FA562E"/>
    <w:rsid w:val="00FB752E"/>
    <w:rsid w:val="00FC2CE0"/>
    <w:rsid w:val="00FC7A7B"/>
    <w:rsid w:val="00FD1006"/>
    <w:rsid w:val="00FD4096"/>
    <w:rsid w:val="00FD422D"/>
    <w:rsid w:val="00FD7F0C"/>
    <w:rsid w:val="00FE39B7"/>
    <w:rsid w:val="00FE6ECC"/>
    <w:rsid w:val="00FF1094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1D0F"/>
  <w15:docId w15:val="{C2DB7660-CAC0-49AA-B4C6-096B9507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B9"/>
    <w:pPr>
      <w:widowControl/>
      <w:suppressAutoHyphens w:val="0"/>
      <w:autoSpaceDN/>
      <w:textAlignment w:val="auto"/>
    </w:pPr>
    <w:rPr>
      <w:rFonts w:cs="Times New Roman"/>
      <w:color w:val="000000"/>
      <w:kern w:val="0"/>
      <w:lang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56027"/>
    <w:pPr>
      <w:keepNext/>
      <w:keepLines/>
      <w:widowControl w:val="0"/>
      <w:suppressAutoHyphens/>
      <w:autoSpaceDN w:val="0"/>
      <w:spacing w:before="240"/>
      <w:textAlignment w:val="baseline"/>
      <w:outlineLvl w:val="0"/>
    </w:pPr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46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20F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argrafodaLista">
    <w:name w:val="List Paragraph"/>
    <w:basedOn w:val="Normal"/>
    <w:uiPriority w:val="34"/>
    <w:qFormat/>
    <w:rsid w:val="00D42914"/>
    <w:pPr>
      <w:ind w:left="720"/>
      <w:contextualSpacing/>
    </w:pPr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F56027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Hyperlink">
    <w:name w:val="Hyperlink"/>
    <w:basedOn w:val="Fontepargpadro"/>
    <w:uiPriority w:val="99"/>
    <w:unhideWhenUsed/>
    <w:rsid w:val="00A85AFE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48172D"/>
    <w:pPr>
      <w:widowControl w:val="0"/>
      <w:suppressAutoHyphens/>
      <w:autoSpaceDN w:val="0"/>
      <w:textAlignment w:val="baseline"/>
    </w:pPr>
    <w:rPr>
      <w:rFonts w:cs="Mangal"/>
      <w:color w:val="auto"/>
      <w:kern w:val="3"/>
      <w:sz w:val="20"/>
      <w:szCs w:val="18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48172D"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unhideWhenUsed/>
    <w:rsid w:val="0048172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C13DF"/>
    <w:pPr>
      <w:widowControl w:val="0"/>
      <w:suppressAutoHyphens/>
      <w:autoSpaceDN w:val="0"/>
      <w:textAlignment w:val="baseline"/>
    </w:pPr>
    <w:rPr>
      <w:rFonts w:cs="Mangal"/>
      <w:color w:val="auto"/>
      <w:kern w:val="3"/>
      <w:sz w:val="20"/>
      <w:szCs w:val="18"/>
      <w:lang w:eastAsia="zh-CN" w:bidi="hi-I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C13DF"/>
    <w:rPr>
      <w:rFonts w:cs="Mangal"/>
      <w:sz w:val="20"/>
      <w:szCs w:val="18"/>
    </w:rPr>
  </w:style>
  <w:style w:type="character" w:styleId="Refdenotadefim">
    <w:name w:val="endnote reference"/>
    <w:basedOn w:val="Fontepargpadro"/>
    <w:uiPriority w:val="99"/>
    <w:semiHidden/>
    <w:unhideWhenUsed/>
    <w:rsid w:val="001C13DF"/>
    <w:rPr>
      <w:vertAlign w:val="superscript"/>
    </w:rPr>
  </w:style>
  <w:style w:type="character" w:customStyle="1" w:styleId="fontstyle01">
    <w:name w:val="fontstyle01"/>
    <w:basedOn w:val="Fontepargpadro"/>
    <w:rsid w:val="0003289A"/>
    <w:rPr>
      <w:rFonts w:ascii="TimesNewRomanPSMT-Identity-H" w:hAnsi="TimesNewRomanPSMT-Identity-H" w:hint="default"/>
      <w:b w:val="0"/>
      <w:bCs w:val="0"/>
      <w:i w:val="0"/>
      <w:iCs w:val="0"/>
      <w:color w:val="050405"/>
      <w:sz w:val="22"/>
      <w:szCs w:val="22"/>
    </w:rPr>
  </w:style>
  <w:style w:type="character" w:customStyle="1" w:styleId="fontstyle21">
    <w:name w:val="fontstyle21"/>
    <w:basedOn w:val="Fontepargpadro"/>
    <w:rsid w:val="003478DE"/>
    <w:rPr>
      <w:b w:val="0"/>
      <w:bCs w:val="0"/>
      <w:i/>
      <w:iCs/>
      <w:color w:val="050405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92DEA"/>
    <w:pPr>
      <w:widowControl w:val="0"/>
      <w:tabs>
        <w:tab w:val="center" w:pos="4252"/>
        <w:tab w:val="right" w:pos="8504"/>
      </w:tabs>
      <w:suppressAutoHyphens/>
      <w:autoSpaceDN w:val="0"/>
      <w:textAlignment w:val="baseline"/>
    </w:pPr>
    <w:rPr>
      <w:rFonts w:cs="Mangal"/>
      <w:color w:val="auto"/>
      <w:kern w:val="3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492DEA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492DEA"/>
    <w:pPr>
      <w:widowControl w:val="0"/>
      <w:tabs>
        <w:tab w:val="center" w:pos="4252"/>
        <w:tab w:val="right" w:pos="8504"/>
      </w:tabs>
      <w:suppressAutoHyphens/>
      <w:autoSpaceDN w:val="0"/>
      <w:textAlignment w:val="baseline"/>
    </w:pPr>
    <w:rPr>
      <w:rFonts w:cs="Mangal"/>
      <w:color w:val="auto"/>
      <w:kern w:val="3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492DEA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034"/>
    <w:pPr>
      <w:widowControl w:val="0"/>
      <w:suppressAutoHyphens/>
      <w:autoSpaceDN w:val="0"/>
      <w:textAlignment w:val="baseline"/>
    </w:pPr>
    <w:rPr>
      <w:rFonts w:ascii="Tahoma" w:hAnsi="Tahoma" w:cs="Mangal"/>
      <w:color w:val="auto"/>
      <w:kern w:val="3"/>
      <w:sz w:val="16"/>
      <w:szCs w:val="1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034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EF59C7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SemEspaamento">
    <w:name w:val="No Spacing"/>
    <w:uiPriority w:val="1"/>
    <w:qFormat/>
    <w:rsid w:val="00EF59C7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character" w:customStyle="1" w:styleId="Caracteresdenotaderodap">
    <w:name w:val="Caracteres de nota de rodapé"/>
    <w:rsid w:val="00AF5028"/>
    <w:rPr>
      <w:vertAlign w:val="superscript"/>
    </w:rPr>
  </w:style>
  <w:style w:type="character" w:customStyle="1" w:styleId="FootnoteReference1">
    <w:name w:val="Footnote Reference1"/>
    <w:rsid w:val="00AF5028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20FA4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pt-BR" w:bidi="ar-SA"/>
    </w:rPr>
  </w:style>
  <w:style w:type="paragraph" w:customStyle="1" w:styleId="x-scope">
    <w:name w:val="x-scope"/>
    <w:basedOn w:val="Normal"/>
    <w:rsid w:val="00FC2CE0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qowt-font2-timesnewroman">
    <w:name w:val="qowt-font2-timesnewroman"/>
    <w:basedOn w:val="Fontepargpadro"/>
    <w:rsid w:val="00FC2CE0"/>
  </w:style>
  <w:style w:type="character" w:styleId="MenoPendente">
    <w:name w:val="Unresolved Mention"/>
    <w:basedOn w:val="Fontepargpadro"/>
    <w:uiPriority w:val="99"/>
    <w:rsid w:val="00FC2CE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3268E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467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31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805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413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839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809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302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575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308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789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01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593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095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057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921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584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50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3913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544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708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935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silveira@ifc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br/produtividade-e-comercio-exterior/pt-br/comercio-exterior-e-assuntos-internaciona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icultura.gov.br/assuntos/relacoes-internacionais/estatisticas-de-comercio-exteri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DD7E-52F5-654B-9A03-9B4CAE19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2947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Silveira</dc:creator>
  <cp:lastModifiedBy>Microsoft Office User</cp:lastModifiedBy>
  <cp:revision>38</cp:revision>
  <cp:lastPrinted>2018-05-16T16:25:00Z</cp:lastPrinted>
  <dcterms:created xsi:type="dcterms:W3CDTF">2022-04-08T13:44:00Z</dcterms:created>
  <dcterms:modified xsi:type="dcterms:W3CDTF">2022-04-09T16:12:00Z</dcterms:modified>
</cp:coreProperties>
</file>