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F7" w:rsidRPr="00A90FD1" w:rsidRDefault="00A1350F" w:rsidP="00BF35DB">
      <w:pPr>
        <w:spacing w:line="360" w:lineRule="auto"/>
        <w:jc w:val="center"/>
        <w:rPr>
          <w:rFonts w:ascii="Times New Roman" w:hAnsi="Times New Roman" w:cs="Times New Roman"/>
          <w:b/>
          <w:sz w:val="24"/>
          <w:szCs w:val="24"/>
        </w:rPr>
      </w:pPr>
      <w:r w:rsidRPr="00A90FD1">
        <w:rPr>
          <w:rFonts w:ascii="Times New Roman" w:hAnsi="Times New Roman" w:cs="Times New Roman"/>
          <w:b/>
          <w:sz w:val="24"/>
          <w:szCs w:val="24"/>
        </w:rPr>
        <w:t>A ELETRIFICAÇÃO BRASILEIRA</w:t>
      </w:r>
      <w:r>
        <w:rPr>
          <w:rFonts w:ascii="Times New Roman" w:hAnsi="Times New Roman" w:cs="Times New Roman"/>
          <w:b/>
          <w:sz w:val="24"/>
          <w:szCs w:val="24"/>
        </w:rPr>
        <w:t>: UM ENSAIO SOBRE O PAPEL DO ESTADO NO DESENVOLVIMENTO DO SETOR ELÉTRICO, ENTRE 1980 E A DÉCADA DE 2010</w:t>
      </w:r>
    </w:p>
    <w:p w:rsidR="001A09F7" w:rsidRDefault="001A09F7" w:rsidP="00A90FD1">
      <w:pPr>
        <w:spacing w:line="360" w:lineRule="auto"/>
        <w:jc w:val="both"/>
        <w:rPr>
          <w:rFonts w:ascii="Times New Roman" w:hAnsi="Times New Roman" w:cs="Times New Roman"/>
          <w:sz w:val="24"/>
          <w:szCs w:val="24"/>
        </w:rPr>
      </w:pPr>
    </w:p>
    <w:p w:rsidR="00A1350F" w:rsidRPr="00A90FD1" w:rsidRDefault="00A1350F" w:rsidP="00A90FD1">
      <w:pPr>
        <w:spacing w:line="360" w:lineRule="auto"/>
        <w:jc w:val="both"/>
        <w:rPr>
          <w:rFonts w:ascii="Times New Roman" w:hAnsi="Times New Roman" w:cs="Times New Roman"/>
          <w:sz w:val="24"/>
          <w:szCs w:val="24"/>
        </w:rPr>
      </w:pPr>
    </w:p>
    <w:p w:rsidR="001A09F7" w:rsidRPr="00A90FD1" w:rsidRDefault="00A1350F" w:rsidP="00A1350F">
      <w:pPr>
        <w:pStyle w:val="Heading1"/>
        <w:spacing w:line="360" w:lineRule="auto"/>
        <w:jc w:val="right"/>
        <w:rPr>
          <w:rFonts w:ascii="Times New Roman" w:hAnsi="Times New Roman" w:cs="Times New Roman"/>
          <w:sz w:val="24"/>
          <w:szCs w:val="24"/>
        </w:rPr>
      </w:pPr>
      <w:bookmarkStart w:id="0" w:name="_Toc30548772"/>
      <w:r w:rsidRPr="00A1350F">
        <w:rPr>
          <w:rFonts w:ascii="Times New Roman" w:hAnsi="Times New Roman" w:cs="Times New Roman"/>
          <w:b w:val="0"/>
          <w:sz w:val="24"/>
          <w:szCs w:val="24"/>
        </w:rPr>
        <w:t>Fábio Farias de Moraes; CIASC; fariasdemoraes@gmail.com</w:t>
      </w:r>
    </w:p>
    <w:p w:rsidR="001A09F7" w:rsidRDefault="001A09F7" w:rsidP="00A90FD1">
      <w:pPr>
        <w:spacing w:line="360" w:lineRule="auto"/>
        <w:jc w:val="both"/>
        <w:rPr>
          <w:rFonts w:ascii="Times New Roman" w:hAnsi="Times New Roman" w:cs="Times New Roman"/>
          <w:sz w:val="24"/>
          <w:szCs w:val="24"/>
        </w:rPr>
      </w:pPr>
    </w:p>
    <w:p w:rsidR="00A1350F" w:rsidRDefault="00A1350F" w:rsidP="00A90FD1">
      <w:pPr>
        <w:spacing w:line="360" w:lineRule="auto"/>
        <w:jc w:val="both"/>
        <w:rPr>
          <w:rFonts w:ascii="Times New Roman" w:hAnsi="Times New Roman" w:cs="Times New Roman"/>
          <w:sz w:val="24"/>
          <w:szCs w:val="24"/>
        </w:rPr>
      </w:pPr>
    </w:p>
    <w:p w:rsidR="00A1350F" w:rsidRDefault="00A1350F" w:rsidP="00A90FD1">
      <w:pPr>
        <w:spacing w:line="360" w:lineRule="auto"/>
        <w:jc w:val="both"/>
        <w:rPr>
          <w:rFonts w:ascii="Times New Roman" w:hAnsi="Times New Roman" w:cs="Times New Roman"/>
          <w:sz w:val="24"/>
          <w:szCs w:val="24"/>
        </w:rPr>
      </w:pPr>
      <w:r w:rsidRPr="00A1350F">
        <w:rPr>
          <w:rFonts w:ascii="Times New Roman" w:hAnsi="Times New Roman" w:cs="Times New Roman"/>
          <w:sz w:val="24"/>
          <w:szCs w:val="24"/>
        </w:rPr>
        <w:t>Área temática: História Econômica</w:t>
      </w:r>
    </w:p>
    <w:p w:rsidR="00A1350F" w:rsidRPr="00A90FD1" w:rsidRDefault="00A1350F" w:rsidP="00A90FD1">
      <w:pPr>
        <w:spacing w:line="360" w:lineRule="auto"/>
        <w:jc w:val="both"/>
        <w:rPr>
          <w:rFonts w:ascii="Times New Roman" w:hAnsi="Times New Roman" w:cs="Times New Roman"/>
          <w:sz w:val="24"/>
          <w:szCs w:val="24"/>
        </w:rPr>
      </w:pPr>
    </w:p>
    <w:bookmarkEnd w:id="0"/>
    <w:p w:rsidR="001A09F7" w:rsidRPr="00A90FD1" w:rsidRDefault="00A1350F" w:rsidP="00A1350F">
      <w:pPr>
        <w:pStyle w:val="Heading1"/>
        <w:spacing w:line="360" w:lineRule="auto"/>
        <w:jc w:val="center"/>
        <w:rPr>
          <w:rFonts w:ascii="Times New Roman" w:hAnsi="Times New Roman" w:cs="Times New Roman"/>
          <w:sz w:val="24"/>
          <w:szCs w:val="24"/>
        </w:rPr>
      </w:pPr>
      <w:r>
        <w:rPr>
          <w:rFonts w:ascii="Times New Roman" w:hAnsi="Times New Roman" w:cs="Times New Roman"/>
          <w:sz w:val="24"/>
          <w:szCs w:val="24"/>
        </w:rPr>
        <w:t>RESUMO</w:t>
      </w:r>
    </w:p>
    <w:p w:rsidR="001A09F7" w:rsidRPr="00A90FD1" w:rsidRDefault="001A09F7" w:rsidP="00A90FD1">
      <w:pPr>
        <w:spacing w:line="360" w:lineRule="auto"/>
        <w:ind w:firstLine="720"/>
        <w:jc w:val="both"/>
        <w:rPr>
          <w:rFonts w:ascii="Times New Roman" w:hAnsi="Times New Roman" w:cs="Times New Roman"/>
          <w:sz w:val="24"/>
          <w:szCs w:val="24"/>
        </w:rPr>
      </w:pPr>
    </w:p>
    <w:p w:rsidR="00AC3C03" w:rsidRPr="00A90FD1" w:rsidRDefault="00CF2779" w:rsidP="00AC3C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 primeiro impulso de eletrificação global houve a primazia do capital pivado transnacional em grandes centros urbanos e a </w:t>
      </w:r>
      <w:r w:rsidR="00873EC4">
        <w:rPr>
          <w:rFonts w:ascii="Times New Roman" w:hAnsi="Times New Roman" w:cs="Times New Roman"/>
          <w:sz w:val="24"/>
          <w:szCs w:val="24"/>
        </w:rPr>
        <w:t xml:space="preserve">cobertura pela </w:t>
      </w:r>
      <w:r>
        <w:rPr>
          <w:rFonts w:ascii="Times New Roman" w:hAnsi="Times New Roman" w:cs="Times New Roman"/>
          <w:sz w:val="24"/>
          <w:szCs w:val="24"/>
        </w:rPr>
        <w:t xml:space="preserve">associação de capitais locais e retardatários no interior de economias como a basileira. </w:t>
      </w:r>
      <w:r w:rsidR="00873EC4">
        <w:rPr>
          <w:rFonts w:ascii="Times New Roman" w:hAnsi="Times New Roman" w:cs="Times New Roman"/>
          <w:sz w:val="24"/>
          <w:szCs w:val="24"/>
        </w:rPr>
        <w:t xml:space="preserve">Pouco antes da metade do século XX, já era visível a busca pelo poder púbico por levar aquela tecnologia da segunda revolução industrial ao maior número de assentamentos possível, pressionando assim por uma mudança no modelo de expansão do setor elétrico, sobretudo na periferia do sistema. A partir de então, a tendência geral se altera, para a nacionalização e estatização dos serviços de fornecimento de energia elétrica em muitos países. No Brasil, da mesma forma, o Estado, via planejamento centralizado, promoveu, diretamente, essa expansão. </w:t>
      </w:r>
      <w:r w:rsidR="00136F0B">
        <w:rPr>
          <w:rFonts w:ascii="Times New Roman" w:hAnsi="Times New Roman" w:cs="Times New Roman"/>
          <w:sz w:val="24"/>
          <w:szCs w:val="24"/>
        </w:rPr>
        <w:t>Contudo, d</w:t>
      </w:r>
      <w:r w:rsidR="00AC3C03">
        <w:rPr>
          <w:rFonts w:ascii="Times New Roman" w:hAnsi="Times New Roman" w:cs="Times New Roman"/>
          <w:sz w:val="24"/>
          <w:szCs w:val="24"/>
        </w:rPr>
        <w:t>esde fins da década de 1970 o setor elétrico mundial mudou suas bases de expansão</w:t>
      </w:r>
      <w:r w:rsidR="00873EC4">
        <w:rPr>
          <w:rFonts w:ascii="Times New Roman" w:hAnsi="Times New Roman" w:cs="Times New Roman"/>
          <w:sz w:val="24"/>
          <w:szCs w:val="24"/>
        </w:rPr>
        <w:t>, novamente</w:t>
      </w:r>
      <w:r w:rsidR="00AC3C03">
        <w:rPr>
          <w:rFonts w:ascii="Times New Roman" w:hAnsi="Times New Roman" w:cs="Times New Roman"/>
          <w:sz w:val="24"/>
          <w:szCs w:val="24"/>
        </w:rPr>
        <w:t>, passando para uma fase de desnacionalização e des</w:t>
      </w:r>
      <w:r w:rsidR="00AC3C03" w:rsidRPr="00A90FD1">
        <w:rPr>
          <w:rFonts w:ascii="Times New Roman" w:hAnsi="Times New Roman" w:cs="Times New Roman"/>
          <w:sz w:val="24"/>
          <w:szCs w:val="24"/>
        </w:rPr>
        <w:t>estatização</w:t>
      </w:r>
      <w:r w:rsidR="00AC3C03">
        <w:rPr>
          <w:rFonts w:ascii="Times New Roman" w:hAnsi="Times New Roman" w:cs="Times New Roman"/>
          <w:sz w:val="24"/>
          <w:szCs w:val="24"/>
        </w:rPr>
        <w:t>. Ess</w:t>
      </w:r>
      <w:r>
        <w:rPr>
          <w:rFonts w:ascii="Times New Roman" w:hAnsi="Times New Roman" w:cs="Times New Roman"/>
          <w:sz w:val="24"/>
          <w:szCs w:val="24"/>
        </w:rPr>
        <w:t xml:space="preserve">a tendência </w:t>
      </w:r>
      <w:r w:rsidR="00AC3C03">
        <w:rPr>
          <w:rFonts w:ascii="Times New Roman" w:hAnsi="Times New Roman" w:cs="Times New Roman"/>
          <w:sz w:val="24"/>
          <w:szCs w:val="24"/>
        </w:rPr>
        <w:t>ganho</w:t>
      </w:r>
      <w:r>
        <w:rPr>
          <w:rFonts w:ascii="Times New Roman" w:hAnsi="Times New Roman" w:cs="Times New Roman"/>
          <w:sz w:val="24"/>
          <w:szCs w:val="24"/>
        </w:rPr>
        <w:t>u</w:t>
      </w:r>
      <w:r w:rsidR="00AC3C03">
        <w:rPr>
          <w:rFonts w:ascii="Times New Roman" w:hAnsi="Times New Roman" w:cs="Times New Roman"/>
          <w:sz w:val="24"/>
          <w:szCs w:val="24"/>
        </w:rPr>
        <w:t xml:space="preserve"> </w:t>
      </w:r>
      <w:r>
        <w:rPr>
          <w:rFonts w:ascii="Times New Roman" w:hAnsi="Times New Roman" w:cs="Times New Roman"/>
          <w:sz w:val="24"/>
          <w:szCs w:val="24"/>
        </w:rPr>
        <w:t>corpo</w:t>
      </w:r>
      <w:r w:rsidR="00AC3C03" w:rsidRPr="00A90FD1">
        <w:rPr>
          <w:rFonts w:ascii="Times New Roman" w:hAnsi="Times New Roman" w:cs="Times New Roman"/>
          <w:sz w:val="24"/>
          <w:szCs w:val="24"/>
        </w:rPr>
        <w:t xml:space="preserve"> principalmente na década de 1990, </w:t>
      </w:r>
      <w:r>
        <w:rPr>
          <w:rFonts w:ascii="Times New Roman" w:hAnsi="Times New Roman" w:cs="Times New Roman"/>
          <w:sz w:val="24"/>
          <w:szCs w:val="24"/>
        </w:rPr>
        <w:t>quando</w:t>
      </w:r>
      <w:r w:rsidR="00AC3C03">
        <w:rPr>
          <w:rFonts w:ascii="Times New Roman" w:hAnsi="Times New Roman" w:cs="Times New Roman"/>
          <w:sz w:val="24"/>
          <w:szCs w:val="24"/>
        </w:rPr>
        <w:t xml:space="preserve"> </w:t>
      </w:r>
      <w:r w:rsidR="009F3FB7">
        <w:rPr>
          <w:rFonts w:ascii="Times New Roman" w:hAnsi="Times New Roman" w:cs="Times New Roman"/>
          <w:sz w:val="24"/>
          <w:szCs w:val="24"/>
        </w:rPr>
        <w:t>ocorreram</w:t>
      </w:r>
      <w:r w:rsidR="00AC3C03">
        <w:rPr>
          <w:rFonts w:ascii="Times New Roman" w:hAnsi="Times New Roman" w:cs="Times New Roman"/>
          <w:sz w:val="24"/>
          <w:szCs w:val="24"/>
        </w:rPr>
        <w:t xml:space="preserve"> </w:t>
      </w:r>
      <w:r>
        <w:rPr>
          <w:rFonts w:ascii="Times New Roman" w:hAnsi="Times New Roman" w:cs="Times New Roman"/>
          <w:sz w:val="24"/>
          <w:szCs w:val="24"/>
        </w:rPr>
        <w:t xml:space="preserve">fortes movimentos </w:t>
      </w:r>
      <w:r w:rsidR="00AC3C03">
        <w:rPr>
          <w:rFonts w:ascii="Times New Roman" w:hAnsi="Times New Roman" w:cs="Times New Roman"/>
          <w:sz w:val="24"/>
          <w:szCs w:val="24"/>
        </w:rPr>
        <w:t>de privatização</w:t>
      </w:r>
      <w:r w:rsidR="00AC3C03" w:rsidRPr="00A90FD1">
        <w:rPr>
          <w:rFonts w:ascii="Times New Roman" w:hAnsi="Times New Roman" w:cs="Times New Roman"/>
          <w:sz w:val="24"/>
          <w:szCs w:val="24"/>
        </w:rPr>
        <w:t>, desreg</w:t>
      </w:r>
      <w:r w:rsidR="00AC3C03">
        <w:rPr>
          <w:rFonts w:ascii="Times New Roman" w:hAnsi="Times New Roman" w:cs="Times New Roman"/>
          <w:sz w:val="24"/>
          <w:szCs w:val="24"/>
        </w:rPr>
        <w:t>ulamentação e incorporção de ativos por capiais extrang</w:t>
      </w:r>
      <w:r>
        <w:rPr>
          <w:rFonts w:ascii="Times New Roman" w:hAnsi="Times New Roman" w:cs="Times New Roman"/>
          <w:sz w:val="24"/>
          <w:szCs w:val="24"/>
        </w:rPr>
        <w:t>e</w:t>
      </w:r>
      <w:r w:rsidR="00AC3C03">
        <w:rPr>
          <w:rFonts w:ascii="Times New Roman" w:hAnsi="Times New Roman" w:cs="Times New Roman"/>
          <w:sz w:val="24"/>
          <w:szCs w:val="24"/>
        </w:rPr>
        <w:t>iros</w:t>
      </w:r>
      <w:r w:rsidR="00AC3C03" w:rsidRPr="00A90FD1">
        <w:rPr>
          <w:rFonts w:ascii="Times New Roman" w:hAnsi="Times New Roman" w:cs="Times New Roman"/>
          <w:sz w:val="24"/>
          <w:szCs w:val="24"/>
        </w:rPr>
        <w:t xml:space="preserve">. </w:t>
      </w:r>
      <w:r w:rsidR="00AC3C03">
        <w:rPr>
          <w:rFonts w:ascii="Times New Roman" w:hAnsi="Times New Roman" w:cs="Times New Roman"/>
          <w:sz w:val="24"/>
          <w:szCs w:val="24"/>
        </w:rPr>
        <w:t>O Brasil, a semelhança da</w:t>
      </w:r>
      <w:r w:rsidR="00AC3C03" w:rsidRPr="00A90FD1">
        <w:rPr>
          <w:rFonts w:ascii="Times New Roman" w:hAnsi="Times New Roman" w:cs="Times New Roman"/>
          <w:sz w:val="24"/>
          <w:szCs w:val="24"/>
        </w:rPr>
        <w:t xml:space="preserve">s </w:t>
      </w:r>
      <w:r>
        <w:rPr>
          <w:rFonts w:ascii="Times New Roman" w:hAnsi="Times New Roman" w:cs="Times New Roman"/>
          <w:sz w:val="24"/>
          <w:szCs w:val="24"/>
        </w:rPr>
        <w:t>de</w:t>
      </w:r>
      <w:r w:rsidR="00AC3C03">
        <w:rPr>
          <w:rFonts w:ascii="Times New Roman" w:hAnsi="Times New Roman" w:cs="Times New Roman"/>
          <w:sz w:val="24"/>
          <w:szCs w:val="24"/>
        </w:rPr>
        <w:t>m</w:t>
      </w:r>
      <w:r>
        <w:rPr>
          <w:rFonts w:ascii="Times New Roman" w:hAnsi="Times New Roman" w:cs="Times New Roman"/>
          <w:sz w:val="24"/>
          <w:szCs w:val="24"/>
        </w:rPr>
        <w:t>a</w:t>
      </w:r>
      <w:r w:rsidR="00AC3C03">
        <w:rPr>
          <w:rFonts w:ascii="Times New Roman" w:hAnsi="Times New Roman" w:cs="Times New Roman"/>
          <w:sz w:val="24"/>
          <w:szCs w:val="24"/>
        </w:rPr>
        <w:t xml:space="preserve">is </w:t>
      </w:r>
      <w:r w:rsidR="00AC3C03" w:rsidRPr="00A90FD1">
        <w:rPr>
          <w:rFonts w:ascii="Times New Roman" w:hAnsi="Times New Roman" w:cs="Times New Roman"/>
          <w:sz w:val="24"/>
          <w:szCs w:val="24"/>
        </w:rPr>
        <w:t>economias lati</w:t>
      </w:r>
      <w:r w:rsidR="00136F0B">
        <w:rPr>
          <w:rFonts w:ascii="Times New Roman" w:hAnsi="Times New Roman" w:cs="Times New Roman"/>
          <w:sz w:val="24"/>
          <w:szCs w:val="24"/>
        </w:rPr>
        <w:t>no</w:t>
      </w:r>
      <w:r w:rsidR="00AC3C03" w:rsidRPr="00A90FD1">
        <w:rPr>
          <w:rFonts w:ascii="Times New Roman" w:hAnsi="Times New Roman" w:cs="Times New Roman"/>
          <w:sz w:val="24"/>
          <w:szCs w:val="24"/>
        </w:rPr>
        <w:t>americanas</w:t>
      </w:r>
      <w:r w:rsidR="00AC3C03">
        <w:rPr>
          <w:rFonts w:ascii="Times New Roman" w:hAnsi="Times New Roman" w:cs="Times New Roman"/>
          <w:sz w:val="24"/>
          <w:szCs w:val="24"/>
        </w:rPr>
        <w:t>,</w:t>
      </w:r>
      <w:r w:rsidR="00AC3C03" w:rsidRPr="00A90FD1">
        <w:rPr>
          <w:rFonts w:ascii="Times New Roman" w:hAnsi="Times New Roman" w:cs="Times New Roman"/>
          <w:sz w:val="24"/>
          <w:szCs w:val="24"/>
        </w:rPr>
        <w:t xml:space="preserve"> não </w:t>
      </w:r>
      <w:r>
        <w:rPr>
          <w:rFonts w:ascii="Times New Roman" w:hAnsi="Times New Roman" w:cs="Times New Roman"/>
          <w:sz w:val="24"/>
          <w:szCs w:val="24"/>
        </w:rPr>
        <w:t>desviou</w:t>
      </w:r>
      <w:r w:rsidR="00AC3C03">
        <w:rPr>
          <w:rFonts w:ascii="Times New Roman" w:hAnsi="Times New Roman" w:cs="Times New Roman"/>
          <w:sz w:val="24"/>
          <w:szCs w:val="24"/>
        </w:rPr>
        <w:t xml:space="preserve"> desse caminho</w:t>
      </w:r>
      <w:r w:rsidR="00AC3C03" w:rsidRPr="00A90FD1">
        <w:rPr>
          <w:rFonts w:ascii="Times New Roman" w:hAnsi="Times New Roman" w:cs="Times New Roman"/>
          <w:sz w:val="24"/>
          <w:szCs w:val="24"/>
        </w:rPr>
        <w:t>.</w:t>
      </w:r>
      <w:r w:rsidR="00AC3C03">
        <w:rPr>
          <w:rFonts w:ascii="Times New Roman" w:hAnsi="Times New Roman" w:cs="Times New Roman"/>
          <w:sz w:val="24"/>
          <w:szCs w:val="24"/>
        </w:rPr>
        <w:t xml:space="preserve"> Quando entr</w:t>
      </w:r>
      <w:r w:rsidR="00873EC4">
        <w:rPr>
          <w:rFonts w:ascii="Times New Roman" w:hAnsi="Times New Roman" w:cs="Times New Roman"/>
          <w:sz w:val="24"/>
          <w:szCs w:val="24"/>
        </w:rPr>
        <w:t>ava</w:t>
      </w:r>
      <w:r w:rsidR="00AC3C03">
        <w:rPr>
          <w:rFonts w:ascii="Times New Roman" w:hAnsi="Times New Roman" w:cs="Times New Roman"/>
          <w:sz w:val="24"/>
          <w:szCs w:val="24"/>
        </w:rPr>
        <w:t xml:space="preserve"> na </w:t>
      </w:r>
      <w:r w:rsidR="00AC3C03" w:rsidRPr="00A90FD1">
        <w:rPr>
          <w:rFonts w:ascii="Times New Roman" w:hAnsi="Times New Roman" w:cs="Times New Roman"/>
          <w:sz w:val="24"/>
          <w:szCs w:val="24"/>
        </w:rPr>
        <w:t>década de 1990, resultado d</w:t>
      </w:r>
      <w:r w:rsidR="00AC3C03">
        <w:rPr>
          <w:rFonts w:ascii="Times New Roman" w:hAnsi="Times New Roman" w:cs="Times New Roman"/>
          <w:sz w:val="24"/>
          <w:szCs w:val="24"/>
        </w:rPr>
        <w:t>o modelo anterior de dese</w:t>
      </w:r>
      <w:r w:rsidR="00136F0B">
        <w:rPr>
          <w:rFonts w:ascii="Times New Roman" w:hAnsi="Times New Roman" w:cs="Times New Roman"/>
          <w:sz w:val="24"/>
          <w:szCs w:val="24"/>
        </w:rPr>
        <w:t xml:space="preserve">nvolvimento do sertor elétrico (aquele </w:t>
      </w:r>
      <w:r w:rsidR="00AC3C03">
        <w:rPr>
          <w:rFonts w:ascii="Times New Roman" w:hAnsi="Times New Roman" w:cs="Times New Roman"/>
          <w:sz w:val="24"/>
          <w:szCs w:val="24"/>
        </w:rPr>
        <w:t>nacionalizante e estat</w:t>
      </w:r>
      <w:r>
        <w:rPr>
          <w:rFonts w:ascii="Times New Roman" w:hAnsi="Times New Roman" w:cs="Times New Roman"/>
          <w:sz w:val="24"/>
          <w:szCs w:val="24"/>
        </w:rPr>
        <w:t>i</w:t>
      </w:r>
      <w:r w:rsidR="00AC3C03">
        <w:rPr>
          <w:rFonts w:ascii="Times New Roman" w:hAnsi="Times New Roman" w:cs="Times New Roman"/>
          <w:sz w:val="24"/>
          <w:szCs w:val="24"/>
        </w:rPr>
        <w:t>zante</w:t>
      </w:r>
      <w:r w:rsidR="00136F0B">
        <w:rPr>
          <w:rFonts w:ascii="Times New Roman" w:hAnsi="Times New Roman" w:cs="Times New Roman"/>
          <w:sz w:val="24"/>
          <w:szCs w:val="24"/>
        </w:rPr>
        <w:t>)</w:t>
      </w:r>
      <w:r w:rsidR="00AC3C03">
        <w:rPr>
          <w:rFonts w:ascii="Times New Roman" w:hAnsi="Times New Roman" w:cs="Times New Roman"/>
          <w:sz w:val="24"/>
          <w:szCs w:val="24"/>
        </w:rPr>
        <w:t xml:space="preserve">, </w:t>
      </w:r>
      <w:r w:rsidR="00AC3C03" w:rsidRPr="00A90FD1">
        <w:rPr>
          <w:rFonts w:ascii="Times New Roman" w:hAnsi="Times New Roman" w:cs="Times New Roman"/>
          <w:sz w:val="24"/>
          <w:szCs w:val="24"/>
        </w:rPr>
        <w:t>o Brasil</w:t>
      </w:r>
      <w:r w:rsidR="00AC3C03">
        <w:rPr>
          <w:rFonts w:ascii="Times New Roman" w:hAnsi="Times New Roman" w:cs="Times New Roman"/>
          <w:sz w:val="24"/>
          <w:szCs w:val="24"/>
        </w:rPr>
        <w:t xml:space="preserve"> e seus pares, como </w:t>
      </w:r>
      <w:r w:rsidR="00AC3C03" w:rsidRPr="00A90FD1">
        <w:rPr>
          <w:rFonts w:ascii="Times New Roman" w:hAnsi="Times New Roman" w:cs="Times New Roman"/>
          <w:sz w:val="24"/>
          <w:szCs w:val="24"/>
        </w:rPr>
        <w:t xml:space="preserve">Argentina, Índia e Coréia do Sul, </w:t>
      </w:r>
      <w:r w:rsidR="00873EC4">
        <w:rPr>
          <w:rFonts w:ascii="Times New Roman" w:hAnsi="Times New Roman" w:cs="Times New Roman"/>
          <w:sz w:val="24"/>
          <w:szCs w:val="24"/>
        </w:rPr>
        <w:t>desfrutava</w:t>
      </w:r>
      <w:r w:rsidR="00AC3C03">
        <w:rPr>
          <w:rFonts w:ascii="Times New Roman" w:hAnsi="Times New Roman" w:cs="Times New Roman"/>
          <w:sz w:val="24"/>
          <w:szCs w:val="24"/>
        </w:rPr>
        <w:t>m de relati</w:t>
      </w:r>
      <w:r w:rsidR="00873EC4">
        <w:rPr>
          <w:rFonts w:ascii="Times New Roman" w:hAnsi="Times New Roman" w:cs="Times New Roman"/>
          <w:sz w:val="24"/>
          <w:szCs w:val="24"/>
        </w:rPr>
        <w:t>v</w:t>
      </w:r>
      <w:r w:rsidR="00AC3C03">
        <w:rPr>
          <w:rFonts w:ascii="Times New Roman" w:hAnsi="Times New Roman" w:cs="Times New Roman"/>
          <w:sz w:val="24"/>
          <w:szCs w:val="24"/>
        </w:rPr>
        <w:t xml:space="preserve">a </w:t>
      </w:r>
      <w:r w:rsidR="00AC3C03" w:rsidRPr="00A90FD1">
        <w:rPr>
          <w:rFonts w:ascii="Times New Roman" w:hAnsi="Times New Roman" w:cs="Times New Roman"/>
          <w:sz w:val="24"/>
          <w:szCs w:val="24"/>
        </w:rPr>
        <w:t>importância</w:t>
      </w:r>
      <w:r>
        <w:rPr>
          <w:rFonts w:ascii="Times New Roman" w:hAnsi="Times New Roman" w:cs="Times New Roman"/>
          <w:sz w:val="24"/>
          <w:szCs w:val="24"/>
        </w:rPr>
        <w:t xml:space="preserve"> econômica</w:t>
      </w:r>
      <w:r w:rsidR="00AC3C03">
        <w:rPr>
          <w:rFonts w:ascii="Times New Roman" w:hAnsi="Times New Roman" w:cs="Times New Roman"/>
          <w:sz w:val="24"/>
          <w:szCs w:val="24"/>
        </w:rPr>
        <w:t>, com significativa</w:t>
      </w:r>
      <w:r w:rsidR="00AC3C03" w:rsidRPr="00A90FD1">
        <w:rPr>
          <w:rFonts w:ascii="Times New Roman" w:hAnsi="Times New Roman" w:cs="Times New Roman"/>
          <w:sz w:val="24"/>
          <w:szCs w:val="24"/>
        </w:rPr>
        <w:t xml:space="preserve"> </w:t>
      </w:r>
      <w:r w:rsidR="00136F0B">
        <w:rPr>
          <w:rFonts w:ascii="Times New Roman" w:hAnsi="Times New Roman" w:cs="Times New Roman"/>
          <w:sz w:val="24"/>
          <w:szCs w:val="24"/>
        </w:rPr>
        <w:t>autonomia</w:t>
      </w:r>
      <w:r w:rsidR="00AC3C03" w:rsidRPr="00A90FD1">
        <w:rPr>
          <w:rFonts w:ascii="Times New Roman" w:hAnsi="Times New Roman" w:cs="Times New Roman"/>
          <w:sz w:val="24"/>
          <w:szCs w:val="24"/>
        </w:rPr>
        <w:t xml:space="preserve"> energética. </w:t>
      </w:r>
      <w:r w:rsidR="00873EC4">
        <w:rPr>
          <w:rFonts w:ascii="Times New Roman" w:hAnsi="Times New Roman" w:cs="Times New Roman"/>
          <w:sz w:val="24"/>
          <w:szCs w:val="24"/>
        </w:rPr>
        <w:t>A</w:t>
      </w:r>
      <w:r w:rsidR="00DD2E1A">
        <w:rPr>
          <w:rFonts w:ascii="Times New Roman" w:hAnsi="Times New Roman" w:cs="Times New Roman"/>
          <w:sz w:val="24"/>
          <w:szCs w:val="24"/>
        </w:rPr>
        <w:t>s</w:t>
      </w:r>
      <w:r w:rsidR="00AC3C03">
        <w:rPr>
          <w:rFonts w:ascii="Times New Roman" w:hAnsi="Times New Roman" w:cs="Times New Roman"/>
          <w:sz w:val="24"/>
          <w:szCs w:val="24"/>
        </w:rPr>
        <w:t xml:space="preserve"> indústria</w:t>
      </w:r>
      <w:r w:rsidR="00DD2E1A">
        <w:rPr>
          <w:rFonts w:ascii="Times New Roman" w:hAnsi="Times New Roman" w:cs="Times New Roman"/>
          <w:sz w:val="24"/>
          <w:szCs w:val="24"/>
        </w:rPr>
        <w:t>s</w:t>
      </w:r>
      <w:r w:rsidR="00AC3C03">
        <w:rPr>
          <w:rFonts w:ascii="Times New Roman" w:hAnsi="Times New Roman" w:cs="Times New Roman"/>
          <w:sz w:val="24"/>
          <w:szCs w:val="24"/>
        </w:rPr>
        <w:t xml:space="preserve"> pretolífera e e</w:t>
      </w:r>
      <w:r w:rsidR="00AC3C03" w:rsidRPr="00A90FD1">
        <w:rPr>
          <w:rFonts w:ascii="Times New Roman" w:hAnsi="Times New Roman" w:cs="Times New Roman"/>
          <w:sz w:val="24"/>
          <w:szCs w:val="24"/>
        </w:rPr>
        <w:t xml:space="preserve">létrica </w:t>
      </w:r>
      <w:r w:rsidR="00873EC4">
        <w:rPr>
          <w:rFonts w:ascii="Times New Roman" w:hAnsi="Times New Roman" w:cs="Times New Roman"/>
          <w:sz w:val="24"/>
          <w:szCs w:val="24"/>
        </w:rPr>
        <w:t xml:space="preserve">brasileiras </w:t>
      </w:r>
      <w:r w:rsidR="00AC3C03">
        <w:rPr>
          <w:rFonts w:ascii="Times New Roman" w:hAnsi="Times New Roman" w:cs="Times New Roman"/>
          <w:sz w:val="24"/>
          <w:szCs w:val="24"/>
        </w:rPr>
        <w:t>eram responsáveis por essa condição</w:t>
      </w:r>
      <w:r w:rsidR="00AC3C03" w:rsidRPr="00A90FD1">
        <w:rPr>
          <w:rFonts w:ascii="Times New Roman" w:hAnsi="Times New Roman" w:cs="Times New Roman"/>
          <w:sz w:val="24"/>
          <w:szCs w:val="24"/>
        </w:rPr>
        <w:t>.</w:t>
      </w:r>
      <w:r w:rsidR="00AC3C03">
        <w:rPr>
          <w:rFonts w:ascii="Times New Roman" w:hAnsi="Times New Roman" w:cs="Times New Roman"/>
          <w:sz w:val="24"/>
          <w:szCs w:val="24"/>
        </w:rPr>
        <w:t xml:space="preserve"> </w:t>
      </w:r>
      <w:r w:rsidR="00873EC4">
        <w:rPr>
          <w:rFonts w:ascii="Times New Roman" w:hAnsi="Times New Roman" w:cs="Times New Roman"/>
          <w:sz w:val="24"/>
          <w:szCs w:val="24"/>
        </w:rPr>
        <w:t>Os anos 1990 reg</w:t>
      </w:r>
      <w:r w:rsidR="008459AE">
        <w:rPr>
          <w:rFonts w:ascii="Times New Roman" w:hAnsi="Times New Roman" w:cs="Times New Roman"/>
          <w:sz w:val="24"/>
          <w:szCs w:val="24"/>
        </w:rPr>
        <w:t>istraram grande revés, todavia, e j</w:t>
      </w:r>
      <w:r w:rsidR="00AC3C03">
        <w:rPr>
          <w:rFonts w:ascii="Times New Roman" w:hAnsi="Times New Roman" w:cs="Times New Roman"/>
          <w:sz w:val="24"/>
          <w:szCs w:val="24"/>
        </w:rPr>
        <w:t xml:space="preserve">á na década de 2000, a situação havia piorado sensivelmente, pelo que se pode responsbilizar a política econômica neoliberal, que </w:t>
      </w:r>
      <w:r w:rsidR="008459AE">
        <w:rPr>
          <w:rFonts w:ascii="Times New Roman" w:hAnsi="Times New Roman" w:cs="Times New Roman"/>
          <w:sz w:val="24"/>
          <w:szCs w:val="24"/>
        </w:rPr>
        <w:t>trouxe consigo</w:t>
      </w:r>
      <w:r w:rsidR="00AC3C03">
        <w:rPr>
          <w:rFonts w:ascii="Times New Roman" w:hAnsi="Times New Roman" w:cs="Times New Roman"/>
          <w:sz w:val="24"/>
          <w:szCs w:val="24"/>
        </w:rPr>
        <w:t xml:space="preserve"> </w:t>
      </w:r>
      <w:r w:rsidR="00606CE8">
        <w:rPr>
          <w:rFonts w:ascii="Times New Roman" w:hAnsi="Times New Roman" w:cs="Times New Roman"/>
          <w:sz w:val="24"/>
          <w:szCs w:val="24"/>
        </w:rPr>
        <w:t xml:space="preserve">a </w:t>
      </w:r>
      <w:r w:rsidR="00AC3C03">
        <w:rPr>
          <w:rFonts w:ascii="Times New Roman" w:hAnsi="Times New Roman" w:cs="Times New Roman"/>
          <w:sz w:val="24"/>
          <w:szCs w:val="24"/>
        </w:rPr>
        <w:t>“crise do apagão”. Com algumas medidas e</w:t>
      </w:r>
      <w:r w:rsidR="008459AE">
        <w:rPr>
          <w:rFonts w:ascii="Times New Roman" w:hAnsi="Times New Roman" w:cs="Times New Roman"/>
          <w:sz w:val="24"/>
          <w:szCs w:val="24"/>
        </w:rPr>
        <w:t>mergenciais, na época, mas especialmente</w:t>
      </w:r>
      <w:r w:rsidR="00AC3C03">
        <w:rPr>
          <w:rFonts w:ascii="Times New Roman" w:hAnsi="Times New Roman" w:cs="Times New Roman"/>
          <w:sz w:val="24"/>
          <w:szCs w:val="24"/>
        </w:rPr>
        <w:t xml:space="preserve"> pela retomada do planejamento e do investimento estatal, anos mais tarde, o setor elétrico, assim como o petrolífero, havia se recuperado</w:t>
      </w:r>
      <w:r w:rsidR="00606CE8">
        <w:rPr>
          <w:rFonts w:ascii="Times New Roman" w:hAnsi="Times New Roman" w:cs="Times New Roman"/>
          <w:sz w:val="24"/>
          <w:szCs w:val="24"/>
        </w:rPr>
        <w:t>, no âmbito do Plano de Aceleração do Crescimento - PAC</w:t>
      </w:r>
      <w:r w:rsidR="00AC3C03">
        <w:rPr>
          <w:rFonts w:ascii="Times New Roman" w:hAnsi="Times New Roman" w:cs="Times New Roman"/>
          <w:sz w:val="24"/>
          <w:szCs w:val="24"/>
        </w:rPr>
        <w:t xml:space="preserve">. </w:t>
      </w:r>
      <w:r w:rsidR="00606CE8">
        <w:rPr>
          <w:rFonts w:ascii="Times New Roman" w:hAnsi="Times New Roman" w:cs="Times New Roman"/>
          <w:sz w:val="24"/>
          <w:szCs w:val="24"/>
        </w:rPr>
        <w:t>Mas, um n</w:t>
      </w:r>
      <w:r w:rsidR="0025761A">
        <w:rPr>
          <w:rFonts w:ascii="Times New Roman" w:hAnsi="Times New Roman" w:cs="Times New Roman"/>
          <w:sz w:val="24"/>
          <w:szCs w:val="24"/>
        </w:rPr>
        <w:t>ovo movimento pensudar</w:t>
      </w:r>
      <w:r w:rsidR="00606CE8">
        <w:rPr>
          <w:rFonts w:ascii="Times New Roman" w:hAnsi="Times New Roman" w:cs="Times New Roman"/>
          <w:sz w:val="24"/>
          <w:szCs w:val="24"/>
        </w:rPr>
        <w:t xml:space="preserve"> na política econômica seria, ainda, observado </w:t>
      </w:r>
      <w:r w:rsidR="00AC3C03">
        <w:rPr>
          <w:rFonts w:ascii="Times New Roman" w:hAnsi="Times New Roman" w:cs="Times New Roman"/>
          <w:sz w:val="24"/>
          <w:szCs w:val="24"/>
        </w:rPr>
        <w:t>e teriam impacto no setor elétrico</w:t>
      </w:r>
      <w:r w:rsidR="00DD2E1A">
        <w:rPr>
          <w:rFonts w:ascii="Times New Roman" w:hAnsi="Times New Roman" w:cs="Times New Roman"/>
          <w:sz w:val="24"/>
          <w:szCs w:val="24"/>
        </w:rPr>
        <w:t>, quando uma articulação de forças polí</w:t>
      </w:r>
      <w:r w:rsidR="0025761A">
        <w:rPr>
          <w:rFonts w:ascii="Times New Roman" w:hAnsi="Times New Roman" w:cs="Times New Roman"/>
          <w:sz w:val="24"/>
          <w:szCs w:val="24"/>
        </w:rPr>
        <w:t>t</w:t>
      </w:r>
      <w:r w:rsidR="00DD2E1A">
        <w:rPr>
          <w:rFonts w:ascii="Times New Roman" w:hAnsi="Times New Roman" w:cs="Times New Roman"/>
          <w:sz w:val="24"/>
          <w:szCs w:val="24"/>
        </w:rPr>
        <w:t>icas coservadoras retirou da presidência a primeira mulher eleita ao principal cargo da república, alguém que ascendera na carreira política, justamente, pela gestão do setor elétrico</w:t>
      </w:r>
      <w:r w:rsidR="00AC3C03">
        <w:rPr>
          <w:rFonts w:ascii="Times New Roman" w:hAnsi="Times New Roman" w:cs="Times New Roman"/>
          <w:sz w:val="24"/>
          <w:szCs w:val="24"/>
        </w:rPr>
        <w:t>.</w:t>
      </w:r>
    </w:p>
    <w:p w:rsidR="001A09F7" w:rsidRPr="00A90FD1" w:rsidRDefault="001A09F7" w:rsidP="00A90FD1">
      <w:pPr>
        <w:spacing w:line="360" w:lineRule="auto"/>
        <w:jc w:val="both"/>
        <w:rPr>
          <w:rFonts w:ascii="Times New Roman" w:hAnsi="Times New Roman" w:cs="Times New Roman"/>
          <w:b/>
          <w:sz w:val="24"/>
          <w:szCs w:val="24"/>
        </w:rPr>
      </w:pPr>
    </w:p>
    <w:p w:rsidR="002A484E" w:rsidRDefault="002A484E" w:rsidP="00A90FD1">
      <w:pPr>
        <w:pStyle w:val="Heading1"/>
        <w:spacing w:line="360" w:lineRule="auto"/>
        <w:jc w:val="both"/>
        <w:rPr>
          <w:rFonts w:ascii="Times New Roman" w:hAnsi="Times New Roman" w:cs="Times New Roman"/>
          <w:sz w:val="24"/>
          <w:szCs w:val="24"/>
        </w:rPr>
      </w:pPr>
      <w:bookmarkStart w:id="1" w:name="_Toc30548773"/>
      <w:r>
        <w:rPr>
          <w:rFonts w:ascii="Times New Roman" w:hAnsi="Times New Roman" w:cs="Times New Roman"/>
          <w:sz w:val="24"/>
          <w:szCs w:val="24"/>
        </w:rPr>
        <w:t>Palavras-chave: Setor elétrico; História econômica; Brasil</w:t>
      </w:r>
    </w:p>
    <w:p w:rsidR="002A484E" w:rsidRDefault="002A484E" w:rsidP="00A90FD1">
      <w:pPr>
        <w:pStyle w:val="Heading1"/>
        <w:spacing w:line="360" w:lineRule="auto"/>
        <w:jc w:val="both"/>
        <w:rPr>
          <w:rFonts w:ascii="Times New Roman" w:hAnsi="Times New Roman" w:cs="Times New Roman"/>
          <w:sz w:val="24"/>
          <w:szCs w:val="24"/>
        </w:rPr>
      </w:pPr>
    </w:p>
    <w:p w:rsidR="008F1223" w:rsidRPr="008F1223" w:rsidRDefault="008F1223" w:rsidP="008F1223"/>
    <w:p w:rsidR="001A09F7" w:rsidRPr="00A90FD1" w:rsidRDefault="008F1223" w:rsidP="00C30F50">
      <w:pPr>
        <w:pStyle w:val="Heading1"/>
        <w:numPr>
          <w:ilvl w:val="0"/>
          <w:numId w:val="22"/>
        </w:numPr>
        <w:spacing w:line="360" w:lineRule="auto"/>
        <w:ind w:hanging="720"/>
        <w:jc w:val="both"/>
        <w:rPr>
          <w:rFonts w:ascii="Times New Roman" w:hAnsi="Times New Roman" w:cs="Times New Roman"/>
          <w:sz w:val="24"/>
          <w:szCs w:val="24"/>
        </w:rPr>
      </w:pPr>
      <w:r w:rsidRPr="00A90FD1">
        <w:rPr>
          <w:rFonts w:ascii="Times New Roman" w:hAnsi="Times New Roman" w:cs="Times New Roman"/>
          <w:sz w:val="24"/>
          <w:szCs w:val="24"/>
        </w:rPr>
        <w:t>Introduçao</w:t>
      </w:r>
      <w:bookmarkEnd w:id="1"/>
    </w:p>
    <w:p w:rsidR="001A09F7" w:rsidRPr="00A90FD1" w:rsidRDefault="001A09F7" w:rsidP="00A90FD1">
      <w:pPr>
        <w:spacing w:line="360" w:lineRule="auto"/>
        <w:jc w:val="both"/>
        <w:rPr>
          <w:rFonts w:ascii="Times New Roman" w:hAnsi="Times New Roman" w:cs="Times New Roman"/>
          <w:sz w:val="24"/>
          <w:szCs w:val="24"/>
        </w:rPr>
      </w:pPr>
    </w:p>
    <w:p w:rsidR="00A065D5" w:rsidRPr="00A065D5" w:rsidRDefault="00A065D5" w:rsidP="00606CE8">
      <w:pPr>
        <w:spacing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É</w:t>
      </w:r>
      <w:r w:rsidRPr="00A065D5">
        <w:rPr>
          <w:rFonts w:ascii="Times New Roman" w:hAnsi="Times New Roman" w:cs="Times New Roman"/>
          <w:color w:val="auto"/>
          <w:sz w:val="24"/>
          <w:szCs w:val="24"/>
        </w:rPr>
        <w:t xml:space="preserve"> possível alegar que a formação do setor elétrico, verdadeira </w:t>
      </w:r>
      <w:r w:rsidRPr="00A065D5">
        <w:rPr>
          <w:rFonts w:ascii="Times New Roman" w:hAnsi="Times New Roman" w:cs="Times New Roman"/>
          <w:i/>
          <w:color w:val="auto"/>
          <w:sz w:val="24"/>
          <w:szCs w:val="24"/>
        </w:rPr>
        <w:t>tarefa de Sísifo</w:t>
      </w:r>
      <w:r w:rsidRPr="00A065D5">
        <w:rPr>
          <w:rFonts w:ascii="Times New Roman" w:hAnsi="Times New Roman" w:cs="Times New Roman"/>
          <w:color w:val="auto"/>
          <w:sz w:val="24"/>
          <w:szCs w:val="24"/>
        </w:rPr>
        <w:t xml:space="preserve">, não tem um final, portanto não seria jamais um processo concluso. É bem verdade que a </w:t>
      </w:r>
      <w:r w:rsidRPr="00A065D5">
        <w:rPr>
          <w:rFonts w:ascii="Times New Roman" w:hAnsi="Times New Roman" w:cs="Times New Roman"/>
          <w:i/>
          <w:color w:val="auto"/>
          <w:sz w:val="24"/>
          <w:szCs w:val="24"/>
        </w:rPr>
        <w:t>pervasividade da tecnologia da eletricidade no cotidiano</w:t>
      </w:r>
      <w:r w:rsidRPr="00A065D5">
        <w:rPr>
          <w:rFonts w:ascii="Times New Roman" w:hAnsi="Times New Roman" w:cs="Times New Roman"/>
          <w:color w:val="auto"/>
          <w:sz w:val="24"/>
          <w:szCs w:val="24"/>
        </w:rPr>
        <w:t xml:space="preserve"> é evidente a qualquer um e, que dado os novos usos e a intensidade de carga crescente de velhos usos, o setor elétrico está sempre sendo pressionado por uma demanda que cresce initerruptamente. Mas também é verdade que a ampliação de usos e melhoria da qualidade de fornecimento não pode ser confundida com a </w:t>
      </w:r>
      <w:r w:rsidRPr="00A065D5">
        <w:rPr>
          <w:rFonts w:ascii="Times New Roman" w:hAnsi="Times New Roman" w:cs="Times New Roman"/>
          <w:i/>
          <w:color w:val="auto"/>
          <w:sz w:val="24"/>
          <w:szCs w:val="24"/>
        </w:rPr>
        <w:t>universalização do acesso</w:t>
      </w:r>
      <w:r w:rsidRPr="00A065D5">
        <w:rPr>
          <w:rFonts w:ascii="Times New Roman" w:hAnsi="Times New Roman" w:cs="Times New Roman"/>
          <w:color w:val="auto"/>
          <w:sz w:val="24"/>
          <w:szCs w:val="24"/>
        </w:rPr>
        <w:t>. Essa sim pode ser considerada um processo concluso, ainda que revesses possam ser vislumbrados.</w:t>
      </w:r>
    </w:p>
    <w:p w:rsidR="00606CE8" w:rsidRDefault="00A065D5" w:rsidP="00A065D5">
      <w:pPr>
        <w:spacing w:line="360" w:lineRule="auto"/>
        <w:jc w:val="both"/>
        <w:rPr>
          <w:rFonts w:ascii="Times New Roman" w:hAnsi="Times New Roman" w:cs="Times New Roman"/>
          <w:color w:val="auto"/>
          <w:sz w:val="24"/>
          <w:szCs w:val="24"/>
        </w:rPr>
      </w:pPr>
      <w:r w:rsidRPr="00AC3C03">
        <w:rPr>
          <w:rFonts w:ascii="Times New Roman" w:hAnsi="Times New Roman" w:cs="Times New Roman"/>
          <w:color w:val="auto"/>
          <w:sz w:val="24"/>
          <w:szCs w:val="24"/>
        </w:rPr>
        <w:t xml:space="preserve">Em outro artigo desta série, já discutimos as primeiras décadas da formação do setor elétrico brasileiro: uma primeira fase de </w:t>
      </w:r>
      <w:r w:rsidRPr="00AC3C03">
        <w:rPr>
          <w:rFonts w:ascii="Times New Roman" w:hAnsi="Times New Roman" w:cs="Times New Roman"/>
          <w:i/>
          <w:color w:val="auto"/>
          <w:sz w:val="24"/>
          <w:szCs w:val="24"/>
        </w:rPr>
        <w:t>eletrificação claudicante</w:t>
      </w:r>
      <w:r w:rsidRPr="00AC3C03">
        <w:rPr>
          <w:rFonts w:ascii="Times New Roman" w:hAnsi="Times New Roman" w:cs="Times New Roman"/>
          <w:color w:val="auto"/>
          <w:sz w:val="24"/>
          <w:szCs w:val="24"/>
        </w:rPr>
        <w:t xml:space="preserve"> (do final do século XIX à metade do século XX) e uma fase de intesa </w:t>
      </w:r>
      <w:r w:rsidR="008459AE" w:rsidRPr="008459AE">
        <w:rPr>
          <w:rFonts w:ascii="Times New Roman" w:hAnsi="Times New Roman" w:cs="Times New Roman"/>
          <w:i/>
          <w:color w:val="auto"/>
          <w:sz w:val="24"/>
          <w:szCs w:val="24"/>
        </w:rPr>
        <w:t>eletrificação</w:t>
      </w:r>
      <w:r w:rsidRPr="008459AE">
        <w:rPr>
          <w:rFonts w:ascii="Times New Roman" w:hAnsi="Times New Roman" w:cs="Times New Roman"/>
          <w:i/>
          <w:color w:val="auto"/>
          <w:sz w:val="24"/>
          <w:szCs w:val="24"/>
        </w:rPr>
        <w:t xml:space="preserve"> planejada</w:t>
      </w:r>
      <w:r w:rsidRPr="00AC3C03">
        <w:rPr>
          <w:rFonts w:ascii="Times New Roman" w:hAnsi="Times New Roman" w:cs="Times New Roman"/>
          <w:color w:val="auto"/>
          <w:sz w:val="24"/>
          <w:szCs w:val="24"/>
        </w:rPr>
        <w:t xml:space="preserve"> (da metade da década de 1950 até 1980). </w:t>
      </w:r>
    </w:p>
    <w:p w:rsidR="00A065D5" w:rsidRDefault="00606CE8" w:rsidP="00606CE8">
      <w:pPr>
        <w:spacing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Esses períodos supracitados definiram as bases da formação do sistema elétrico brasileiro. Mas o ritmo, as prioridades e a responsabilidade pelos investimentos não foram fatores constantes. </w:t>
      </w:r>
      <w:r w:rsidR="005B6C83">
        <w:rPr>
          <w:rFonts w:ascii="Times New Roman" w:hAnsi="Times New Roman" w:cs="Times New Roman"/>
          <w:color w:val="auto"/>
          <w:sz w:val="24"/>
          <w:szCs w:val="24"/>
        </w:rPr>
        <w:t>Por isso, ca</w:t>
      </w:r>
      <w:r w:rsidR="00A065D5" w:rsidRPr="00AC3C03">
        <w:rPr>
          <w:rFonts w:ascii="Times New Roman" w:hAnsi="Times New Roman" w:cs="Times New Roman"/>
          <w:color w:val="auto"/>
          <w:sz w:val="24"/>
          <w:szCs w:val="24"/>
        </w:rPr>
        <w:t>be ainda o exame de</w:t>
      </w:r>
      <w:r>
        <w:rPr>
          <w:rFonts w:ascii="Times New Roman" w:hAnsi="Times New Roman" w:cs="Times New Roman"/>
          <w:color w:val="auto"/>
          <w:sz w:val="24"/>
          <w:szCs w:val="24"/>
        </w:rPr>
        <w:t>: i)</w:t>
      </w:r>
      <w:r w:rsidR="00A065D5" w:rsidRPr="00AC3C03">
        <w:rPr>
          <w:rFonts w:ascii="Times New Roman" w:hAnsi="Times New Roman" w:cs="Times New Roman"/>
          <w:color w:val="auto"/>
          <w:sz w:val="24"/>
          <w:szCs w:val="24"/>
        </w:rPr>
        <w:t xml:space="preserve"> um período de retrocessos e a modificação do esquema regulatório para um </w:t>
      </w:r>
      <w:r w:rsidR="00A065D5" w:rsidRPr="005B6C83">
        <w:rPr>
          <w:rFonts w:ascii="Times New Roman" w:hAnsi="Times New Roman" w:cs="Times New Roman"/>
          <w:i/>
          <w:color w:val="auto"/>
          <w:sz w:val="24"/>
          <w:szCs w:val="24"/>
        </w:rPr>
        <w:t>modelo liberalizante</w:t>
      </w:r>
      <w:r w:rsidR="005B6C83">
        <w:rPr>
          <w:rFonts w:ascii="Times New Roman" w:hAnsi="Times New Roman" w:cs="Times New Roman"/>
          <w:i/>
          <w:color w:val="auto"/>
          <w:sz w:val="24"/>
          <w:szCs w:val="24"/>
        </w:rPr>
        <w:t xml:space="preserve"> de eletrificação</w:t>
      </w:r>
      <w:r w:rsidR="00A065D5" w:rsidRPr="00AC3C03">
        <w:rPr>
          <w:rFonts w:ascii="Times New Roman" w:hAnsi="Times New Roman" w:cs="Times New Roman"/>
          <w:color w:val="auto"/>
          <w:sz w:val="24"/>
          <w:szCs w:val="24"/>
        </w:rPr>
        <w:t>, datado entre a década de 1980 ao início dos anos 2000</w:t>
      </w:r>
      <w:r w:rsidR="008459AE">
        <w:rPr>
          <w:rFonts w:ascii="Times New Roman" w:hAnsi="Times New Roman" w:cs="Times New Roman"/>
          <w:color w:val="auto"/>
          <w:sz w:val="24"/>
          <w:szCs w:val="24"/>
        </w:rPr>
        <w:t>,</w:t>
      </w:r>
      <w:r w:rsidR="00A065D5" w:rsidRPr="00AC3C03">
        <w:rPr>
          <w:rFonts w:ascii="Times New Roman" w:hAnsi="Times New Roman" w:cs="Times New Roman"/>
          <w:color w:val="auto"/>
          <w:sz w:val="24"/>
          <w:szCs w:val="24"/>
        </w:rPr>
        <w:t xml:space="preserve"> e</w:t>
      </w:r>
      <w:r>
        <w:rPr>
          <w:rFonts w:ascii="Times New Roman" w:hAnsi="Times New Roman" w:cs="Times New Roman"/>
          <w:color w:val="auto"/>
          <w:sz w:val="24"/>
          <w:szCs w:val="24"/>
        </w:rPr>
        <w:t>; ii)</w:t>
      </w:r>
      <w:r w:rsidR="00A065D5" w:rsidRPr="00AC3C03">
        <w:rPr>
          <w:rFonts w:ascii="Times New Roman" w:hAnsi="Times New Roman" w:cs="Times New Roman"/>
          <w:color w:val="auto"/>
          <w:sz w:val="24"/>
          <w:szCs w:val="24"/>
        </w:rPr>
        <w:t xml:space="preserve"> a </w:t>
      </w:r>
      <w:r w:rsidR="00A065D5" w:rsidRPr="008124B9">
        <w:rPr>
          <w:rFonts w:ascii="Times New Roman" w:hAnsi="Times New Roman" w:cs="Times New Roman"/>
          <w:i/>
          <w:color w:val="auto"/>
          <w:sz w:val="24"/>
          <w:szCs w:val="24"/>
        </w:rPr>
        <w:t>retomada do investimento planejado</w:t>
      </w:r>
      <w:r w:rsidR="00A065D5" w:rsidRPr="00AC3C03">
        <w:rPr>
          <w:rFonts w:ascii="Times New Roman" w:hAnsi="Times New Roman" w:cs="Times New Roman"/>
          <w:color w:val="auto"/>
          <w:sz w:val="24"/>
          <w:szCs w:val="24"/>
        </w:rPr>
        <w:t xml:space="preserve">, que é abordada na sessão </w:t>
      </w:r>
      <w:r w:rsidR="00A065D5">
        <w:rPr>
          <w:rFonts w:ascii="Times New Roman" w:hAnsi="Times New Roman" w:cs="Times New Roman"/>
          <w:color w:val="auto"/>
          <w:sz w:val="24"/>
          <w:szCs w:val="24"/>
        </w:rPr>
        <w:t xml:space="preserve">seguinte </w:t>
      </w:r>
      <w:r w:rsidR="00A065D5" w:rsidRPr="00AC3C03">
        <w:rPr>
          <w:rFonts w:ascii="Times New Roman" w:hAnsi="Times New Roman" w:cs="Times New Roman"/>
          <w:color w:val="auto"/>
          <w:sz w:val="24"/>
          <w:szCs w:val="24"/>
        </w:rPr>
        <w:t>deste texto.</w:t>
      </w:r>
    </w:p>
    <w:p w:rsidR="00A065D5" w:rsidRPr="00AC3C03" w:rsidRDefault="00A065D5" w:rsidP="008F1223">
      <w:pPr>
        <w:spacing w:line="360" w:lineRule="auto"/>
        <w:jc w:val="both"/>
        <w:rPr>
          <w:rFonts w:ascii="Times New Roman" w:hAnsi="Times New Roman" w:cs="Times New Roman"/>
          <w:color w:val="auto"/>
          <w:sz w:val="24"/>
          <w:szCs w:val="24"/>
        </w:rPr>
      </w:pPr>
    </w:p>
    <w:p w:rsidR="008F1223" w:rsidRDefault="008F1223" w:rsidP="00A90FD1">
      <w:pPr>
        <w:spacing w:line="360" w:lineRule="auto"/>
        <w:jc w:val="both"/>
        <w:rPr>
          <w:rFonts w:ascii="Times New Roman" w:hAnsi="Times New Roman" w:cs="Times New Roman"/>
          <w:sz w:val="24"/>
          <w:szCs w:val="24"/>
        </w:rPr>
      </w:pPr>
    </w:p>
    <w:p w:rsidR="001A09F7" w:rsidRPr="00A90FD1" w:rsidRDefault="001A09F7" w:rsidP="00A90FD1">
      <w:pPr>
        <w:spacing w:line="360" w:lineRule="auto"/>
        <w:jc w:val="both"/>
        <w:rPr>
          <w:rFonts w:ascii="Times New Roman" w:hAnsi="Times New Roman" w:cs="Times New Roman"/>
          <w:b/>
          <w:sz w:val="24"/>
          <w:szCs w:val="24"/>
        </w:rPr>
      </w:pPr>
    </w:p>
    <w:p w:rsidR="001A09F7" w:rsidRPr="00A90FD1" w:rsidRDefault="00606CE8" w:rsidP="00C30F50">
      <w:pPr>
        <w:pStyle w:val="Heading1"/>
        <w:numPr>
          <w:ilvl w:val="0"/>
          <w:numId w:val="22"/>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O panorama geral do</w:t>
      </w:r>
      <w:r w:rsidR="009D61E5">
        <w:rPr>
          <w:rFonts w:ascii="Times New Roman" w:hAnsi="Times New Roman" w:cs="Times New Roman"/>
          <w:sz w:val="24"/>
          <w:szCs w:val="24"/>
        </w:rPr>
        <w:t xml:space="preserve"> setor elétrico brasileiro</w:t>
      </w:r>
      <w:r>
        <w:rPr>
          <w:rFonts w:ascii="Times New Roman" w:hAnsi="Times New Roman" w:cs="Times New Roman"/>
          <w:sz w:val="24"/>
          <w:szCs w:val="24"/>
        </w:rPr>
        <w:t>,</w:t>
      </w:r>
      <w:r w:rsidR="009D61E5">
        <w:rPr>
          <w:rFonts w:ascii="Times New Roman" w:hAnsi="Times New Roman" w:cs="Times New Roman"/>
          <w:sz w:val="24"/>
          <w:szCs w:val="24"/>
        </w:rPr>
        <w:t xml:space="preserve"> desde os anos 1980 até a segunda década do sécuo XXI</w:t>
      </w:r>
    </w:p>
    <w:p w:rsidR="001A09F7" w:rsidRPr="00A90FD1" w:rsidRDefault="001A09F7" w:rsidP="00A90FD1">
      <w:pPr>
        <w:spacing w:line="360" w:lineRule="auto"/>
        <w:jc w:val="both"/>
        <w:rPr>
          <w:rFonts w:ascii="Times New Roman" w:hAnsi="Times New Roman" w:cs="Times New Roman"/>
          <w:sz w:val="24"/>
          <w:szCs w:val="24"/>
        </w:rPr>
      </w:pPr>
    </w:p>
    <w:p w:rsidR="00391CEE" w:rsidRPr="00A90FD1" w:rsidRDefault="000007ED" w:rsidP="008531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Depois</w:t>
      </w:r>
      <w:r w:rsidR="00391CEE">
        <w:rPr>
          <w:rFonts w:ascii="Times New Roman" w:hAnsi="Times New Roman" w:cs="Times New Roman"/>
          <w:sz w:val="24"/>
          <w:szCs w:val="24"/>
        </w:rPr>
        <w:t xml:space="preserve"> </w:t>
      </w:r>
      <w:r>
        <w:rPr>
          <w:rFonts w:ascii="Times New Roman" w:hAnsi="Times New Roman" w:cs="Times New Roman"/>
          <w:sz w:val="24"/>
          <w:szCs w:val="24"/>
        </w:rPr>
        <w:t>d</w:t>
      </w:r>
      <w:r w:rsidR="00391CEE">
        <w:rPr>
          <w:rFonts w:ascii="Times New Roman" w:hAnsi="Times New Roman" w:cs="Times New Roman"/>
          <w:sz w:val="24"/>
          <w:szCs w:val="24"/>
        </w:rPr>
        <w:t>o</w:t>
      </w:r>
      <w:r w:rsidR="00391CEE" w:rsidRPr="00A90FD1">
        <w:rPr>
          <w:rFonts w:ascii="Times New Roman" w:hAnsi="Times New Roman" w:cs="Times New Roman"/>
          <w:sz w:val="24"/>
          <w:szCs w:val="24"/>
        </w:rPr>
        <w:t xml:space="preserve"> movimento de nacionalização e até estatização no setor elétrico</w:t>
      </w:r>
      <w:r w:rsidR="00391CEE">
        <w:rPr>
          <w:rFonts w:ascii="Times New Roman" w:hAnsi="Times New Roman" w:cs="Times New Roman"/>
          <w:sz w:val="24"/>
          <w:szCs w:val="24"/>
        </w:rPr>
        <w:t xml:space="preserve"> em mu</w:t>
      </w:r>
      <w:r>
        <w:rPr>
          <w:rFonts w:ascii="Times New Roman" w:hAnsi="Times New Roman" w:cs="Times New Roman"/>
          <w:sz w:val="24"/>
          <w:szCs w:val="24"/>
        </w:rPr>
        <w:t>i</w:t>
      </w:r>
      <w:r w:rsidR="00391CEE">
        <w:rPr>
          <w:rFonts w:ascii="Times New Roman" w:hAnsi="Times New Roman" w:cs="Times New Roman"/>
          <w:sz w:val="24"/>
          <w:szCs w:val="24"/>
        </w:rPr>
        <w:t>to</w:t>
      </w:r>
      <w:r>
        <w:rPr>
          <w:rFonts w:ascii="Times New Roman" w:hAnsi="Times New Roman" w:cs="Times New Roman"/>
          <w:sz w:val="24"/>
          <w:szCs w:val="24"/>
        </w:rPr>
        <w:t>s</w:t>
      </w:r>
      <w:r w:rsidR="00391CEE">
        <w:rPr>
          <w:rFonts w:ascii="Times New Roman" w:hAnsi="Times New Roman" w:cs="Times New Roman"/>
          <w:sz w:val="24"/>
          <w:szCs w:val="24"/>
        </w:rPr>
        <w:t xml:space="preserve"> países do mundo</w:t>
      </w:r>
      <w:r>
        <w:rPr>
          <w:rFonts w:ascii="Times New Roman" w:hAnsi="Times New Roman" w:cs="Times New Roman"/>
          <w:sz w:val="24"/>
          <w:szCs w:val="24"/>
        </w:rPr>
        <w:t xml:space="preserve">, de 1978 em diante, ganhando força </w:t>
      </w:r>
      <w:r w:rsidR="00391CEE" w:rsidRPr="00A90FD1">
        <w:rPr>
          <w:rFonts w:ascii="Times New Roman" w:hAnsi="Times New Roman" w:cs="Times New Roman"/>
          <w:sz w:val="24"/>
          <w:szCs w:val="24"/>
        </w:rPr>
        <w:t xml:space="preserve">na década de 1990, </w:t>
      </w:r>
      <w:r>
        <w:rPr>
          <w:rFonts w:ascii="Times New Roman" w:hAnsi="Times New Roman" w:cs="Times New Roman"/>
          <w:sz w:val="24"/>
          <w:szCs w:val="24"/>
        </w:rPr>
        <w:t>foi observada</w:t>
      </w:r>
      <w:r w:rsidR="00391CEE" w:rsidRPr="00A90FD1">
        <w:rPr>
          <w:rFonts w:ascii="Times New Roman" w:hAnsi="Times New Roman" w:cs="Times New Roman"/>
          <w:sz w:val="24"/>
          <w:szCs w:val="24"/>
        </w:rPr>
        <w:t xml:space="preserve"> uma forte privatização, desregulamentação e desnacionalização (HAUSMAN; HERTNER; WILKINS, 2008). As economias latinas americanas não foram ponto fora da curva, todas entraram na onda neoliberal.</w:t>
      </w:r>
    </w:p>
    <w:p w:rsidR="00391CEE" w:rsidRPr="00A90FD1" w:rsidRDefault="00391CEE"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lastRenderedPageBreak/>
        <w:t xml:space="preserve">Ao chegar </w:t>
      </w:r>
      <w:r w:rsidR="000007ED" w:rsidRPr="00A90FD1">
        <w:rPr>
          <w:rFonts w:ascii="Times New Roman" w:hAnsi="Times New Roman" w:cs="Times New Roman"/>
          <w:sz w:val="24"/>
          <w:szCs w:val="24"/>
        </w:rPr>
        <w:t>à</w:t>
      </w:r>
      <w:r w:rsidRPr="00A90FD1">
        <w:rPr>
          <w:rFonts w:ascii="Times New Roman" w:hAnsi="Times New Roman" w:cs="Times New Roman"/>
          <w:sz w:val="24"/>
          <w:szCs w:val="24"/>
        </w:rPr>
        <w:t xml:space="preserve"> década de 1990, resultado de</w:t>
      </w:r>
      <w:r w:rsidR="000007ED">
        <w:rPr>
          <w:rFonts w:ascii="Times New Roman" w:hAnsi="Times New Roman" w:cs="Times New Roman"/>
          <w:sz w:val="24"/>
          <w:szCs w:val="24"/>
        </w:rPr>
        <w:t xml:space="preserve"> um </w:t>
      </w:r>
      <w:r w:rsidRPr="00A90FD1">
        <w:rPr>
          <w:rFonts w:ascii="Times New Roman" w:hAnsi="Times New Roman" w:cs="Times New Roman"/>
          <w:sz w:val="24"/>
          <w:szCs w:val="24"/>
        </w:rPr>
        <w:t>conjunto de fatores e processos</w:t>
      </w:r>
      <w:r w:rsidR="000007ED">
        <w:rPr>
          <w:rFonts w:ascii="Times New Roman" w:hAnsi="Times New Roman" w:cs="Times New Roman"/>
          <w:sz w:val="24"/>
          <w:szCs w:val="24"/>
        </w:rPr>
        <w:t xml:space="preserve"> desenvolvimentistas</w:t>
      </w:r>
      <w:r w:rsidRPr="00A90FD1">
        <w:rPr>
          <w:rFonts w:ascii="Times New Roman" w:hAnsi="Times New Roman" w:cs="Times New Roman"/>
          <w:sz w:val="24"/>
          <w:szCs w:val="24"/>
        </w:rPr>
        <w:t>, o Brasil, ao lado da Argentina, Índia e Coréia do Sul, compunha um grupo de países, cuja importância e grau de desenvolvimento lhes garantia certa autonomia energética. No caso brasileiro isso lhe era conferido principalmente por sua indústria petrolífera e elétrica (MARTIN, 1992).</w:t>
      </w:r>
    </w:p>
    <w:p w:rsidR="001A09F7" w:rsidRPr="00A90FD1" w:rsidRDefault="00391CEE" w:rsidP="008531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w:t>
      </w:r>
      <w:r w:rsidR="000007ED">
        <w:rPr>
          <w:rFonts w:ascii="Times New Roman" w:hAnsi="Times New Roman" w:cs="Times New Roman"/>
          <w:sz w:val="24"/>
          <w:szCs w:val="24"/>
        </w:rPr>
        <w:t>Brasil</w:t>
      </w:r>
      <w:r>
        <w:rPr>
          <w:rFonts w:ascii="Times New Roman" w:hAnsi="Times New Roman" w:cs="Times New Roman"/>
          <w:sz w:val="24"/>
          <w:szCs w:val="24"/>
        </w:rPr>
        <w:t>, e</w:t>
      </w:r>
      <w:r w:rsidR="001A09F7" w:rsidRPr="00A90FD1">
        <w:rPr>
          <w:rFonts w:ascii="Times New Roman" w:hAnsi="Times New Roman" w:cs="Times New Roman"/>
          <w:sz w:val="24"/>
          <w:szCs w:val="24"/>
        </w:rPr>
        <w:t xml:space="preserve">ntre fins da década de 1970 e início da década de 1980, as fontes de recursos do setor elétrico eram, basicamente, as companhias estaduais, a Eletrobras e os recursos externos, em </w:t>
      </w:r>
      <w:r w:rsidR="000007ED">
        <w:rPr>
          <w:rFonts w:ascii="Times New Roman" w:hAnsi="Times New Roman" w:cs="Times New Roman"/>
          <w:sz w:val="24"/>
          <w:szCs w:val="24"/>
        </w:rPr>
        <w:t>porções</w:t>
      </w:r>
      <w:r w:rsidR="001A09F7" w:rsidRPr="00A90FD1">
        <w:rPr>
          <w:rFonts w:ascii="Times New Roman" w:hAnsi="Times New Roman" w:cs="Times New Roman"/>
          <w:sz w:val="24"/>
          <w:szCs w:val="24"/>
        </w:rPr>
        <w:t xml:space="preserve"> semelhantes no total de investimentos. </w:t>
      </w:r>
      <w:r w:rsidR="000007ED">
        <w:rPr>
          <w:rFonts w:ascii="Times New Roman" w:hAnsi="Times New Roman" w:cs="Times New Roman"/>
          <w:sz w:val="24"/>
          <w:szCs w:val="24"/>
        </w:rPr>
        <w:t>Mas, o</w:t>
      </w:r>
      <w:r w:rsidR="001A09F7" w:rsidRPr="00A90FD1">
        <w:rPr>
          <w:rFonts w:ascii="Times New Roman" w:hAnsi="Times New Roman" w:cs="Times New Roman"/>
          <w:sz w:val="24"/>
          <w:szCs w:val="24"/>
        </w:rPr>
        <w:t xml:space="preserve">s ventos </w:t>
      </w:r>
      <w:r w:rsidR="000007ED">
        <w:rPr>
          <w:rFonts w:ascii="Times New Roman" w:hAnsi="Times New Roman" w:cs="Times New Roman"/>
          <w:sz w:val="24"/>
          <w:szCs w:val="24"/>
        </w:rPr>
        <w:t>d</w:t>
      </w:r>
      <w:r w:rsidR="001A09F7" w:rsidRPr="00A90FD1">
        <w:rPr>
          <w:rFonts w:ascii="Times New Roman" w:hAnsi="Times New Roman" w:cs="Times New Roman"/>
          <w:sz w:val="24"/>
          <w:szCs w:val="24"/>
        </w:rPr>
        <w:t>a economia internacional mudavam</w:t>
      </w:r>
      <w:r w:rsidR="000007ED">
        <w:rPr>
          <w:rFonts w:ascii="Times New Roman" w:hAnsi="Times New Roman" w:cs="Times New Roman"/>
          <w:sz w:val="24"/>
          <w:szCs w:val="24"/>
        </w:rPr>
        <w:t>,</w:t>
      </w:r>
      <w:r w:rsidR="001A09F7" w:rsidRPr="00A90FD1">
        <w:rPr>
          <w:rFonts w:ascii="Times New Roman" w:hAnsi="Times New Roman" w:cs="Times New Roman"/>
          <w:sz w:val="24"/>
          <w:szCs w:val="24"/>
        </w:rPr>
        <w:t xml:space="preserve"> novamente</w:t>
      </w:r>
      <w:r w:rsidR="000007ED">
        <w:rPr>
          <w:rFonts w:ascii="Times New Roman" w:hAnsi="Times New Roman" w:cs="Times New Roman"/>
          <w:sz w:val="24"/>
          <w:szCs w:val="24"/>
        </w:rPr>
        <w:t>,</w:t>
      </w:r>
      <w:r w:rsidR="001A09F7" w:rsidRPr="00A90FD1">
        <w:rPr>
          <w:rFonts w:ascii="Times New Roman" w:hAnsi="Times New Roman" w:cs="Times New Roman"/>
          <w:sz w:val="24"/>
          <w:szCs w:val="24"/>
        </w:rPr>
        <w:t xml:space="preserve"> com a segunda crise do petróleo, em 1979, com a Guerra do Golfo e com o choque dos juros internacionais. A essa altura o setor elétrico estava altamente endividado em moeda estrangeira. Na mesma época a Eletrobrás estava comprometida com as grandes obras de Itaipu, Tucuruí e Angra I. A dívida externa brasileira toma</w:t>
      </w:r>
      <w:r w:rsidR="000007ED">
        <w:rPr>
          <w:rFonts w:ascii="Times New Roman" w:hAnsi="Times New Roman" w:cs="Times New Roman"/>
          <w:sz w:val="24"/>
          <w:szCs w:val="24"/>
        </w:rPr>
        <w:t>va</w:t>
      </w:r>
      <w:r w:rsidR="001A09F7" w:rsidRPr="00A90FD1">
        <w:rPr>
          <w:rFonts w:ascii="Times New Roman" w:hAnsi="Times New Roman" w:cs="Times New Roman"/>
          <w:sz w:val="24"/>
          <w:szCs w:val="24"/>
        </w:rPr>
        <w:t xml:space="preserve"> contornos dramáticos, os novos empréstimos serviam tão somente para rolagem da dívida já assumida e o balanço de pagamentos apresentava sério desequilíbrio, que piorou com a [maxi]desvalorização do Cruzeiro, no final de 1979. O governo brasileiro, com o último general presidente, João Figueiredo, que não dispunha mais da sua capacidade de sustentação</w:t>
      </w:r>
      <w:r w:rsidR="000007ED">
        <w:rPr>
          <w:rFonts w:ascii="Times New Roman" w:hAnsi="Times New Roman" w:cs="Times New Roman"/>
          <w:sz w:val="24"/>
          <w:szCs w:val="24"/>
        </w:rPr>
        <w:t>, dada pelo</w:t>
      </w:r>
      <w:r w:rsidR="001A09F7" w:rsidRPr="00A90FD1">
        <w:rPr>
          <w:rFonts w:ascii="Times New Roman" w:hAnsi="Times New Roman" w:cs="Times New Roman"/>
          <w:sz w:val="24"/>
          <w:szCs w:val="24"/>
        </w:rPr>
        <w:t xml:space="preserve"> crescimento econômico, somente conseguia financiamentos de prazo exíguo no sistema financeiro. Só o passivo do setor elétrico brasileiro em moeda estrangeira alcançava US$ 20 bilhões no início da década</w:t>
      </w:r>
      <w:r w:rsidR="006664A0">
        <w:rPr>
          <w:rFonts w:ascii="Times New Roman" w:hAnsi="Times New Roman" w:cs="Times New Roman"/>
          <w:sz w:val="24"/>
          <w:szCs w:val="24"/>
        </w:rPr>
        <w:t xml:space="preserve"> de 1980 (MEMÓRIA DA ELETRICIDADE, 1995). A moratória Mexicana, </w:t>
      </w:r>
      <w:r w:rsidR="001A09F7" w:rsidRPr="00A90FD1">
        <w:rPr>
          <w:rFonts w:ascii="Times New Roman" w:hAnsi="Times New Roman" w:cs="Times New Roman"/>
          <w:sz w:val="24"/>
          <w:szCs w:val="24"/>
        </w:rPr>
        <w:t>ou “la nacionalización de la banca</w:t>
      </w:r>
      <w:r w:rsidR="000007ED">
        <w:rPr>
          <w:rFonts w:ascii="Times New Roman" w:hAnsi="Times New Roman" w:cs="Times New Roman"/>
          <w:sz w:val="24"/>
          <w:szCs w:val="24"/>
        </w:rPr>
        <w:t>”</w:t>
      </w:r>
      <w:r w:rsidR="006664A0">
        <w:rPr>
          <w:rFonts w:ascii="Times New Roman" w:hAnsi="Times New Roman" w:cs="Times New Roman"/>
          <w:sz w:val="24"/>
          <w:szCs w:val="24"/>
        </w:rPr>
        <w:t>, em 1982,  foi um marco para as economias latinoamericanas</w:t>
      </w:r>
      <w:r w:rsidR="001A09F7" w:rsidRPr="00A90FD1">
        <w:rPr>
          <w:rFonts w:ascii="Times New Roman" w:hAnsi="Times New Roman" w:cs="Times New Roman"/>
          <w:sz w:val="24"/>
          <w:szCs w:val="24"/>
        </w:rPr>
        <w:t>. Toda a década de 1980 seria perdida em term</w:t>
      </w:r>
      <w:r w:rsidR="006664A0">
        <w:rPr>
          <w:rFonts w:ascii="Times New Roman" w:hAnsi="Times New Roman" w:cs="Times New Roman"/>
          <w:sz w:val="24"/>
          <w:szCs w:val="24"/>
        </w:rPr>
        <w:t>os de desenvolvimento econômico.</w:t>
      </w:r>
    </w:p>
    <w:p w:rsidR="001A09F7" w:rsidRPr="00A90FD1" w:rsidRDefault="001A09F7"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Para driblar a escassez de divisas, projetos não previstos no planejamento do setor elétrico entravam em pauta para captação de recursos externos. Isso implicava nas distorções dos planos de expansão setorial elaborados pela Eletrobrás</w:t>
      </w:r>
      <w:r w:rsidR="00F223CF">
        <w:rPr>
          <w:rFonts w:ascii="Times New Roman" w:hAnsi="Times New Roman" w:cs="Times New Roman"/>
          <w:sz w:val="24"/>
          <w:szCs w:val="24"/>
        </w:rPr>
        <w:t xml:space="preserve">. A grande estatal havia </w:t>
      </w:r>
      <w:r w:rsidRPr="00A90FD1">
        <w:rPr>
          <w:rFonts w:ascii="Times New Roman" w:hAnsi="Times New Roman" w:cs="Times New Roman"/>
          <w:sz w:val="24"/>
          <w:szCs w:val="24"/>
        </w:rPr>
        <w:t>form</w:t>
      </w:r>
      <w:r w:rsidR="00F223CF">
        <w:rPr>
          <w:rFonts w:ascii="Times New Roman" w:hAnsi="Times New Roman" w:cs="Times New Roman"/>
          <w:sz w:val="24"/>
          <w:szCs w:val="24"/>
        </w:rPr>
        <w:t>ulado</w:t>
      </w:r>
      <w:r w:rsidRPr="00A90FD1">
        <w:rPr>
          <w:rFonts w:ascii="Times New Roman" w:hAnsi="Times New Roman" w:cs="Times New Roman"/>
          <w:sz w:val="24"/>
          <w:szCs w:val="24"/>
        </w:rPr>
        <w:t xml:space="preserve"> um modelo de excelência com a elaboração do Plano 90 e dos, subsequentes, Plano 92, Plano 95, Plano 2000 e Plano 2010, mesmo que limitados em execução por conta das restrições do financiamento.</w:t>
      </w:r>
      <w:r w:rsidR="006664A0">
        <w:rPr>
          <w:rFonts w:ascii="Times New Roman" w:hAnsi="Times New Roman" w:cs="Times New Roman"/>
          <w:sz w:val="24"/>
          <w:szCs w:val="24"/>
        </w:rPr>
        <w:t xml:space="preserve"> </w:t>
      </w:r>
      <w:r w:rsidRPr="00A90FD1">
        <w:rPr>
          <w:rFonts w:ascii="Times New Roman" w:hAnsi="Times New Roman" w:cs="Times New Roman"/>
          <w:sz w:val="24"/>
          <w:szCs w:val="24"/>
        </w:rPr>
        <w:t>O Plano 2000 previa a construção de termelétricas, como a Jorge Lacerda III, e adequava os prazos de construção de novas usinas à realidade das finanças nacionais.</w:t>
      </w:r>
      <w:r w:rsidR="006664A0">
        <w:rPr>
          <w:rFonts w:ascii="Times New Roman" w:hAnsi="Times New Roman" w:cs="Times New Roman"/>
          <w:sz w:val="24"/>
          <w:szCs w:val="24"/>
        </w:rPr>
        <w:t xml:space="preserve"> </w:t>
      </w:r>
      <w:r w:rsidRPr="00A90FD1">
        <w:rPr>
          <w:rFonts w:ascii="Times New Roman" w:hAnsi="Times New Roman" w:cs="Times New Roman"/>
          <w:sz w:val="24"/>
          <w:szCs w:val="24"/>
        </w:rPr>
        <w:t xml:space="preserve">O Plano 2010, </w:t>
      </w:r>
      <w:r w:rsidR="006664A0" w:rsidRPr="00A90FD1">
        <w:rPr>
          <w:rFonts w:ascii="Times New Roman" w:hAnsi="Times New Roman" w:cs="Times New Roman"/>
          <w:sz w:val="24"/>
          <w:szCs w:val="24"/>
        </w:rPr>
        <w:t>com metodologia diferenciada por sur</w:t>
      </w:r>
      <w:r w:rsidR="00F223CF">
        <w:rPr>
          <w:rFonts w:ascii="Times New Roman" w:hAnsi="Times New Roman" w:cs="Times New Roman"/>
          <w:sz w:val="24"/>
          <w:szCs w:val="24"/>
        </w:rPr>
        <w:t>gir de um sistema de seminários —</w:t>
      </w:r>
      <w:r w:rsidR="006664A0">
        <w:rPr>
          <w:rFonts w:ascii="Times New Roman" w:hAnsi="Times New Roman" w:cs="Times New Roman"/>
          <w:sz w:val="24"/>
          <w:szCs w:val="24"/>
        </w:rPr>
        <w:t xml:space="preserve"> mas </w:t>
      </w:r>
      <w:r w:rsidRPr="00A90FD1">
        <w:rPr>
          <w:rFonts w:ascii="Times New Roman" w:hAnsi="Times New Roman" w:cs="Times New Roman"/>
          <w:sz w:val="24"/>
          <w:szCs w:val="24"/>
        </w:rPr>
        <w:t>também elaborado pela Eletrobrás, em colaboração com outros órgão e estatais, como a Petrobrás e o BNDES</w:t>
      </w:r>
      <w:r w:rsidR="00F223CF">
        <w:rPr>
          <w:rFonts w:ascii="Times New Roman" w:hAnsi="Times New Roman" w:cs="Times New Roman"/>
          <w:sz w:val="24"/>
          <w:szCs w:val="24"/>
        </w:rPr>
        <w:t xml:space="preserve"> </w:t>
      </w:r>
      <w:r w:rsidR="00F223CF">
        <w:t>—</w:t>
      </w:r>
      <w:r w:rsidRPr="00A90FD1">
        <w:rPr>
          <w:rFonts w:ascii="Times New Roman" w:hAnsi="Times New Roman" w:cs="Times New Roman"/>
          <w:sz w:val="24"/>
          <w:szCs w:val="24"/>
        </w:rPr>
        <w:t>, foi divulgado em 1987.</w:t>
      </w:r>
    </w:p>
    <w:p w:rsidR="001A09F7" w:rsidRPr="00A90FD1" w:rsidRDefault="00F223CF" w:rsidP="008531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O</w:t>
      </w:r>
      <w:r w:rsidR="001A09F7" w:rsidRPr="00A90FD1">
        <w:rPr>
          <w:rFonts w:ascii="Times New Roman" w:hAnsi="Times New Roman" w:cs="Times New Roman"/>
          <w:sz w:val="24"/>
          <w:szCs w:val="24"/>
        </w:rPr>
        <w:t xml:space="preserve"> sistema de transmissão já funcionava com planejamento integrado e com o entendimento de ser um objeto único</w:t>
      </w:r>
      <w:r>
        <w:rPr>
          <w:rFonts w:ascii="Times New Roman" w:hAnsi="Times New Roman" w:cs="Times New Roman"/>
          <w:sz w:val="24"/>
          <w:szCs w:val="24"/>
        </w:rPr>
        <w:t>, pelo menos, d</w:t>
      </w:r>
      <w:r w:rsidRPr="00A90FD1">
        <w:rPr>
          <w:rFonts w:ascii="Times New Roman" w:hAnsi="Times New Roman" w:cs="Times New Roman"/>
          <w:sz w:val="24"/>
          <w:szCs w:val="24"/>
        </w:rPr>
        <w:t>esde a pr</w:t>
      </w:r>
      <w:r>
        <w:rPr>
          <w:rFonts w:ascii="Times New Roman" w:hAnsi="Times New Roman" w:cs="Times New Roman"/>
          <w:sz w:val="24"/>
          <w:szCs w:val="24"/>
        </w:rPr>
        <w:t>imeira metade da década de 1980.</w:t>
      </w:r>
      <w:r w:rsidR="001A09F7" w:rsidRPr="00A90FD1">
        <w:rPr>
          <w:rFonts w:ascii="Times New Roman" w:hAnsi="Times New Roman" w:cs="Times New Roman"/>
          <w:sz w:val="24"/>
          <w:szCs w:val="24"/>
        </w:rPr>
        <w:t xml:space="preserve"> </w:t>
      </w:r>
      <w:r>
        <w:rPr>
          <w:rFonts w:ascii="Times New Roman" w:hAnsi="Times New Roman" w:cs="Times New Roman"/>
          <w:sz w:val="24"/>
          <w:szCs w:val="24"/>
        </w:rPr>
        <w:t>M</w:t>
      </w:r>
      <w:r w:rsidR="001A09F7" w:rsidRPr="00A90FD1">
        <w:rPr>
          <w:rFonts w:ascii="Times New Roman" w:hAnsi="Times New Roman" w:cs="Times New Roman"/>
          <w:sz w:val="24"/>
          <w:szCs w:val="24"/>
        </w:rPr>
        <w:t xml:space="preserve">as a geração, que envolvia </w:t>
      </w:r>
      <w:r>
        <w:rPr>
          <w:rFonts w:ascii="Times New Roman" w:hAnsi="Times New Roman" w:cs="Times New Roman"/>
          <w:sz w:val="24"/>
          <w:szCs w:val="24"/>
        </w:rPr>
        <w:t xml:space="preserve">questões </w:t>
      </w:r>
      <w:r w:rsidR="001A09F7" w:rsidRPr="00A90FD1">
        <w:rPr>
          <w:rFonts w:ascii="Times New Roman" w:hAnsi="Times New Roman" w:cs="Times New Roman"/>
          <w:sz w:val="24"/>
          <w:szCs w:val="24"/>
        </w:rPr>
        <w:t xml:space="preserve">como o interesse dos estados, necessitava de revisões periódicas </w:t>
      </w:r>
      <w:r w:rsidR="00B83F6D">
        <w:rPr>
          <w:rFonts w:ascii="Times New Roman" w:hAnsi="Times New Roman" w:cs="Times New Roman"/>
          <w:sz w:val="24"/>
          <w:szCs w:val="24"/>
        </w:rPr>
        <w:t>do planejamento de longo prazo</w:t>
      </w:r>
      <w:r w:rsidR="00B83F6D">
        <w:rPr>
          <w:rStyle w:val="Refdenotaderodap"/>
          <w:rFonts w:ascii="Times New Roman" w:hAnsi="Times New Roman" w:cs="Times New Roman"/>
          <w:sz w:val="24"/>
          <w:szCs w:val="24"/>
        </w:rPr>
        <w:footnoteReference w:id="2"/>
      </w:r>
      <w:r w:rsidR="001A09F7" w:rsidRPr="00A90FD1">
        <w:rPr>
          <w:rFonts w:ascii="Times New Roman" w:hAnsi="Times New Roman" w:cs="Times New Roman"/>
          <w:sz w:val="24"/>
          <w:szCs w:val="24"/>
        </w:rPr>
        <w:t>.</w:t>
      </w:r>
      <w:r w:rsidR="00B83F6D">
        <w:rPr>
          <w:rFonts w:ascii="Times New Roman" w:hAnsi="Times New Roman" w:cs="Times New Roman"/>
          <w:sz w:val="24"/>
          <w:szCs w:val="24"/>
        </w:rPr>
        <w:t xml:space="preserve"> </w:t>
      </w:r>
      <w:r>
        <w:rPr>
          <w:rFonts w:ascii="Times New Roman" w:hAnsi="Times New Roman" w:cs="Times New Roman"/>
          <w:sz w:val="24"/>
          <w:szCs w:val="24"/>
        </w:rPr>
        <w:t>Ainda</w:t>
      </w:r>
      <w:r w:rsidR="001A09F7" w:rsidRPr="00A90FD1">
        <w:rPr>
          <w:rFonts w:ascii="Times New Roman" w:hAnsi="Times New Roman" w:cs="Times New Roman"/>
          <w:sz w:val="24"/>
          <w:szCs w:val="24"/>
        </w:rPr>
        <w:t xml:space="preserve"> assim, é possível </w:t>
      </w:r>
      <w:r>
        <w:rPr>
          <w:rFonts w:ascii="Times New Roman" w:hAnsi="Times New Roman" w:cs="Times New Roman"/>
          <w:sz w:val="24"/>
          <w:szCs w:val="24"/>
        </w:rPr>
        <w:t xml:space="preserve">constatar que </w:t>
      </w:r>
      <w:r w:rsidR="001A09F7" w:rsidRPr="00A90FD1">
        <w:rPr>
          <w:rFonts w:ascii="Times New Roman" w:hAnsi="Times New Roman" w:cs="Times New Roman"/>
          <w:sz w:val="24"/>
          <w:szCs w:val="24"/>
        </w:rPr>
        <w:t>o planejamento do setor pela Eletrobrás</w:t>
      </w:r>
      <w:r>
        <w:rPr>
          <w:rFonts w:ascii="Times New Roman" w:hAnsi="Times New Roman" w:cs="Times New Roman"/>
          <w:sz w:val="24"/>
          <w:szCs w:val="24"/>
        </w:rPr>
        <w:t xml:space="preserve"> foi bem sucedido</w:t>
      </w:r>
      <w:r w:rsidR="001A09F7" w:rsidRPr="00A90FD1">
        <w:rPr>
          <w:rFonts w:ascii="Times New Roman" w:hAnsi="Times New Roman" w:cs="Times New Roman"/>
          <w:sz w:val="24"/>
          <w:szCs w:val="24"/>
        </w:rPr>
        <w:t>, haja vista as características únicas de um sistema elétrico de dimensões continentais, que envolvia a complexidade de equacionar os vários regimes hídricos em um sistema lastreado na geração hidroelétrica.</w:t>
      </w:r>
    </w:p>
    <w:p w:rsidR="001A09F7" w:rsidRPr="00A90FD1" w:rsidRDefault="001A09F7"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A forma de planejamento integrado </w:t>
      </w:r>
      <w:r w:rsidR="00F223CF">
        <w:rPr>
          <w:rFonts w:ascii="Times New Roman" w:hAnsi="Times New Roman" w:cs="Times New Roman"/>
          <w:sz w:val="24"/>
          <w:szCs w:val="24"/>
        </w:rPr>
        <w:t xml:space="preserve">do sistema elétrico </w:t>
      </w:r>
      <w:r w:rsidRPr="00A90FD1">
        <w:rPr>
          <w:rFonts w:ascii="Times New Roman" w:hAnsi="Times New Roman" w:cs="Times New Roman"/>
          <w:sz w:val="24"/>
          <w:szCs w:val="24"/>
        </w:rPr>
        <w:t>consolid</w:t>
      </w:r>
      <w:r w:rsidR="00F223CF">
        <w:rPr>
          <w:rFonts w:ascii="Times New Roman" w:hAnsi="Times New Roman" w:cs="Times New Roman"/>
          <w:sz w:val="24"/>
          <w:szCs w:val="24"/>
        </w:rPr>
        <w:t>ou-se com a criação</w:t>
      </w:r>
      <w:r w:rsidRPr="00A90FD1">
        <w:rPr>
          <w:rFonts w:ascii="Times New Roman" w:hAnsi="Times New Roman" w:cs="Times New Roman"/>
          <w:sz w:val="24"/>
          <w:szCs w:val="24"/>
        </w:rPr>
        <w:t xml:space="preserve"> do Grupo Coordenador do Planejamento dos Sistemas Elétricos – GCPS, </w:t>
      </w:r>
      <w:r w:rsidR="00F223CF" w:rsidRPr="00A90FD1">
        <w:rPr>
          <w:rFonts w:ascii="Times New Roman" w:hAnsi="Times New Roman" w:cs="Times New Roman"/>
          <w:sz w:val="24"/>
          <w:szCs w:val="24"/>
        </w:rPr>
        <w:t>em 1982</w:t>
      </w:r>
      <w:r w:rsidR="00F223CF">
        <w:rPr>
          <w:rFonts w:ascii="Times New Roman" w:hAnsi="Times New Roman" w:cs="Times New Roman"/>
          <w:sz w:val="24"/>
          <w:szCs w:val="24"/>
        </w:rPr>
        <w:t xml:space="preserve">. O GCPS </w:t>
      </w:r>
      <w:r w:rsidRPr="00A90FD1">
        <w:rPr>
          <w:rFonts w:ascii="Times New Roman" w:hAnsi="Times New Roman" w:cs="Times New Roman"/>
          <w:sz w:val="24"/>
          <w:szCs w:val="24"/>
        </w:rPr>
        <w:t>foi basilar para os rumos de expansão do setor nas décadas de 1980 e 1990</w:t>
      </w:r>
      <w:r w:rsidRPr="00A90FD1">
        <w:rPr>
          <w:rStyle w:val="Refdenotaderodap"/>
          <w:rFonts w:ascii="Times New Roman" w:hAnsi="Times New Roman" w:cs="Times New Roman"/>
          <w:sz w:val="24"/>
          <w:szCs w:val="24"/>
        </w:rPr>
        <w:footnoteReference w:id="3"/>
      </w:r>
      <w:r w:rsidRPr="00A90FD1">
        <w:rPr>
          <w:rFonts w:ascii="Times New Roman" w:hAnsi="Times New Roman" w:cs="Times New Roman"/>
          <w:sz w:val="24"/>
          <w:szCs w:val="24"/>
        </w:rPr>
        <w:t xml:space="preserve">, </w:t>
      </w:r>
      <w:r w:rsidR="00F223CF">
        <w:rPr>
          <w:rFonts w:ascii="Times New Roman" w:hAnsi="Times New Roman" w:cs="Times New Roman"/>
          <w:sz w:val="24"/>
          <w:szCs w:val="24"/>
        </w:rPr>
        <w:t xml:space="preserve">pois, </w:t>
      </w:r>
      <w:r w:rsidRPr="00A90FD1">
        <w:rPr>
          <w:rFonts w:ascii="Times New Roman" w:hAnsi="Times New Roman" w:cs="Times New Roman"/>
          <w:sz w:val="24"/>
          <w:szCs w:val="24"/>
        </w:rPr>
        <w:t>composto pelas principais empresas elét</w:t>
      </w:r>
      <w:r w:rsidR="00F223CF">
        <w:rPr>
          <w:rFonts w:ascii="Times New Roman" w:hAnsi="Times New Roman" w:cs="Times New Roman"/>
          <w:sz w:val="24"/>
          <w:szCs w:val="24"/>
        </w:rPr>
        <w:t xml:space="preserve">ricas brasileiras, foi </w:t>
      </w:r>
      <w:r w:rsidRPr="00A90FD1">
        <w:rPr>
          <w:rFonts w:ascii="Times New Roman" w:hAnsi="Times New Roman" w:cs="Times New Roman"/>
          <w:sz w:val="24"/>
          <w:szCs w:val="24"/>
        </w:rPr>
        <w:t>responsável pela elaboração d</w:t>
      </w:r>
      <w:r w:rsidR="00F223CF">
        <w:rPr>
          <w:rFonts w:ascii="Times New Roman" w:hAnsi="Times New Roman" w:cs="Times New Roman"/>
          <w:sz w:val="24"/>
          <w:szCs w:val="24"/>
        </w:rPr>
        <w:t xml:space="preserve">os Planos Decenais de Expansão — </w:t>
      </w:r>
      <w:r w:rsidRPr="00A90FD1">
        <w:rPr>
          <w:rFonts w:ascii="Times New Roman" w:hAnsi="Times New Roman" w:cs="Times New Roman"/>
          <w:sz w:val="24"/>
          <w:szCs w:val="24"/>
        </w:rPr>
        <w:t>até ser substituído pelo Comitê Coordenador de Planejamento dos Sis</w:t>
      </w:r>
      <w:r w:rsidR="00F223CF">
        <w:rPr>
          <w:rFonts w:ascii="Times New Roman" w:hAnsi="Times New Roman" w:cs="Times New Roman"/>
          <w:sz w:val="24"/>
          <w:szCs w:val="24"/>
        </w:rPr>
        <w:t>temas Elétricos – CCPE, em 1999</w:t>
      </w:r>
      <w:r w:rsidRPr="00A90FD1">
        <w:rPr>
          <w:rFonts w:ascii="Times New Roman" w:hAnsi="Times New Roman" w:cs="Times New Roman"/>
          <w:sz w:val="24"/>
          <w:szCs w:val="24"/>
        </w:rPr>
        <w:t>.</w:t>
      </w:r>
      <w:r w:rsidR="00F223CF">
        <w:rPr>
          <w:rFonts w:ascii="Times New Roman" w:hAnsi="Times New Roman" w:cs="Times New Roman"/>
          <w:sz w:val="24"/>
          <w:szCs w:val="24"/>
        </w:rPr>
        <w:t xml:space="preserve"> No início da década de 1980, </w:t>
      </w:r>
      <w:r w:rsidRPr="00A90FD1">
        <w:rPr>
          <w:rFonts w:ascii="Times New Roman" w:hAnsi="Times New Roman" w:cs="Times New Roman"/>
          <w:sz w:val="24"/>
          <w:szCs w:val="24"/>
        </w:rPr>
        <w:t xml:space="preserve">o Programa de Recuperação Setorial - PRS, por meio de um empréstimo do Banco Mundial, no valor de US$ 500 milhões, conseguiu </w:t>
      </w:r>
      <w:r w:rsidR="0093776C">
        <w:rPr>
          <w:rFonts w:ascii="Times New Roman" w:hAnsi="Times New Roman" w:cs="Times New Roman"/>
          <w:sz w:val="24"/>
          <w:szCs w:val="24"/>
        </w:rPr>
        <w:t>amenizar</w:t>
      </w:r>
      <w:r w:rsidRPr="00A90FD1">
        <w:rPr>
          <w:rFonts w:ascii="Times New Roman" w:hAnsi="Times New Roman" w:cs="Times New Roman"/>
          <w:sz w:val="24"/>
          <w:szCs w:val="24"/>
        </w:rPr>
        <w:t xml:space="preserve"> a falta de recursos.</w:t>
      </w:r>
    </w:p>
    <w:p w:rsidR="001A09F7" w:rsidRPr="00A90FD1" w:rsidRDefault="001A09F7"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A centralização dos recursos e do comando sobre a expansão do setor</w:t>
      </w:r>
      <w:r w:rsidR="00F223CF">
        <w:rPr>
          <w:rFonts w:ascii="Times New Roman" w:hAnsi="Times New Roman" w:cs="Times New Roman"/>
          <w:sz w:val="24"/>
          <w:szCs w:val="24"/>
        </w:rPr>
        <w:t xml:space="preserve">, que já estava </w:t>
      </w:r>
      <w:r w:rsidR="0093776C">
        <w:rPr>
          <w:rFonts w:ascii="Times New Roman" w:hAnsi="Times New Roman" w:cs="Times New Roman"/>
          <w:sz w:val="24"/>
          <w:szCs w:val="24"/>
        </w:rPr>
        <w:t xml:space="preserve">bem </w:t>
      </w:r>
      <w:r w:rsidR="00F223CF">
        <w:rPr>
          <w:rFonts w:ascii="Times New Roman" w:hAnsi="Times New Roman" w:cs="Times New Roman"/>
          <w:sz w:val="24"/>
          <w:szCs w:val="24"/>
        </w:rPr>
        <w:t>caracterizada na década de 1980, também</w:t>
      </w:r>
      <w:r w:rsidRPr="00A90FD1">
        <w:rPr>
          <w:rFonts w:ascii="Times New Roman" w:hAnsi="Times New Roman" w:cs="Times New Roman"/>
          <w:sz w:val="24"/>
          <w:szCs w:val="24"/>
        </w:rPr>
        <w:t xml:space="preserve"> gerava conflitos com os interesses das concessionárias estaduais</w:t>
      </w:r>
      <w:r w:rsidR="00F223CF">
        <w:rPr>
          <w:rFonts w:ascii="Times New Roman" w:hAnsi="Times New Roman" w:cs="Times New Roman"/>
          <w:sz w:val="24"/>
          <w:szCs w:val="24"/>
        </w:rPr>
        <w:t xml:space="preserve">. Essas </w:t>
      </w:r>
      <w:r w:rsidRPr="00A90FD1">
        <w:rPr>
          <w:rFonts w:ascii="Times New Roman" w:hAnsi="Times New Roman" w:cs="Times New Roman"/>
          <w:sz w:val="24"/>
          <w:szCs w:val="24"/>
        </w:rPr>
        <w:t>queriam priorizar a construção de empreendimentos em suas próprias áreas de concessão. No início da década de 1980, para</w:t>
      </w:r>
      <w:r w:rsidR="0093776C">
        <w:rPr>
          <w:rFonts w:ascii="Times New Roman" w:hAnsi="Times New Roman" w:cs="Times New Roman"/>
          <w:sz w:val="24"/>
          <w:szCs w:val="24"/>
        </w:rPr>
        <w:t xml:space="preserve"> manter recursos nos própios</w:t>
      </w:r>
      <w:r w:rsidRPr="00A90FD1">
        <w:rPr>
          <w:rFonts w:ascii="Times New Roman" w:hAnsi="Times New Roman" w:cs="Times New Roman"/>
          <w:sz w:val="24"/>
          <w:szCs w:val="24"/>
        </w:rPr>
        <w:t xml:space="preserve"> estados</w:t>
      </w:r>
      <w:r w:rsidR="0093776C">
        <w:rPr>
          <w:rFonts w:ascii="Times New Roman" w:hAnsi="Times New Roman" w:cs="Times New Roman"/>
          <w:sz w:val="24"/>
          <w:szCs w:val="24"/>
        </w:rPr>
        <w:t xml:space="preserve">, driblando o esquema </w:t>
      </w:r>
      <w:r w:rsidR="0097219B">
        <w:rPr>
          <w:rFonts w:ascii="Times New Roman" w:hAnsi="Times New Roman" w:cs="Times New Roman"/>
          <w:sz w:val="24"/>
          <w:szCs w:val="24"/>
        </w:rPr>
        <w:t>da equalização tarifária e da</w:t>
      </w:r>
      <w:r w:rsidR="0093776C">
        <w:rPr>
          <w:rFonts w:ascii="Times New Roman" w:hAnsi="Times New Roman" w:cs="Times New Roman"/>
          <w:sz w:val="24"/>
          <w:szCs w:val="24"/>
        </w:rPr>
        <w:t xml:space="preserve"> Reserva Global de Garantia - RGG</w:t>
      </w:r>
      <w:r w:rsidRPr="00A90FD1">
        <w:rPr>
          <w:rFonts w:ascii="Times New Roman" w:hAnsi="Times New Roman" w:cs="Times New Roman"/>
          <w:sz w:val="24"/>
          <w:szCs w:val="24"/>
        </w:rPr>
        <w:t xml:space="preserve"> (</w:t>
      </w:r>
      <w:r w:rsidR="0093776C">
        <w:rPr>
          <w:rFonts w:ascii="Times New Roman" w:hAnsi="Times New Roman" w:cs="Times New Roman"/>
          <w:sz w:val="24"/>
          <w:szCs w:val="24"/>
        </w:rPr>
        <w:t>vigente desde a década anterior</w:t>
      </w:r>
      <w:r w:rsidR="0097219B">
        <w:rPr>
          <w:rStyle w:val="Refdenotaderodap"/>
          <w:rFonts w:ascii="Times New Roman" w:hAnsi="Times New Roman" w:cs="Times New Roman"/>
          <w:sz w:val="24"/>
          <w:szCs w:val="24"/>
        </w:rPr>
        <w:footnoteReference w:id="4"/>
      </w:r>
      <w:r w:rsidRPr="00A90FD1">
        <w:rPr>
          <w:rFonts w:ascii="Times New Roman" w:hAnsi="Times New Roman" w:cs="Times New Roman"/>
          <w:sz w:val="24"/>
          <w:szCs w:val="24"/>
        </w:rPr>
        <w:t>) surg</w:t>
      </w:r>
      <w:r w:rsidR="0093776C">
        <w:rPr>
          <w:rFonts w:ascii="Times New Roman" w:hAnsi="Times New Roman" w:cs="Times New Roman"/>
          <w:sz w:val="24"/>
          <w:szCs w:val="24"/>
        </w:rPr>
        <w:t>ira</w:t>
      </w:r>
      <w:r w:rsidRPr="00A90FD1">
        <w:rPr>
          <w:rFonts w:ascii="Times New Roman" w:hAnsi="Times New Roman" w:cs="Times New Roman"/>
          <w:sz w:val="24"/>
          <w:szCs w:val="24"/>
        </w:rPr>
        <w:t>m os primeiros programas de eletrificação rural de largo alcance, como da Copel e da Cemig.</w:t>
      </w:r>
    </w:p>
    <w:p w:rsidR="001A09F7" w:rsidRPr="00A90FD1" w:rsidRDefault="001A09F7"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A segunda metade da década de 1980, novas eleições para os governos estaduais, a Assembleia Nacional Constituinte e a nova Carta Magna, além do cenário econômico com baixo crescimento, elevada inflação, planos de estabilização (Plano Cruzado</w:t>
      </w:r>
      <w:r w:rsidR="0097219B">
        <w:rPr>
          <w:rFonts w:ascii="Times New Roman" w:hAnsi="Times New Roman" w:cs="Times New Roman"/>
          <w:sz w:val="24"/>
          <w:szCs w:val="24"/>
        </w:rPr>
        <w:t xml:space="preserve"> </w:t>
      </w:r>
      <w:r w:rsidRPr="00A90FD1">
        <w:rPr>
          <w:rFonts w:ascii="Times New Roman" w:hAnsi="Times New Roman" w:cs="Times New Roman"/>
          <w:sz w:val="24"/>
          <w:szCs w:val="24"/>
        </w:rPr>
        <w:t xml:space="preserve">e </w:t>
      </w:r>
      <w:r w:rsidRPr="00A90FD1">
        <w:rPr>
          <w:rFonts w:ascii="Times New Roman" w:hAnsi="Times New Roman" w:cs="Times New Roman"/>
          <w:sz w:val="24"/>
          <w:szCs w:val="24"/>
        </w:rPr>
        <w:lastRenderedPageBreak/>
        <w:t>Plano Verão) e moratória tiveram impactos sobre o setor elétrico. O congelamento tarifário, durante os planos de estabilização monetária</w:t>
      </w:r>
      <w:r w:rsidR="0093776C">
        <w:rPr>
          <w:rFonts w:ascii="Times New Roman" w:hAnsi="Times New Roman" w:cs="Times New Roman"/>
          <w:sz w:val="24"/>
          <w:szCs w:val="24"/>
        </w:rPr>
        <w:t>,</w:t>
      </w:r>
      <w:r w:rsidRPr="00A90FD1">
        <w:rPr>
          <w:rFonts w:ascii="Times New Roman" w:hAnsi="Times New Roman" w:cs="Times New Roman"/>
          <w:sz w:val="24"/>
          <w:szCs w:val="24"/>
        </w:rPr>
        <w:t xml:space="preserve"> foi um </w:t>
      </w:r>
      <w:r w:rsidR="0093776C">
        <w:rPr>
          <w:rFonts w:ascii="Times New Roman" w:hAnsi="Times New Roman" w:cs="Times New Roman"/>
          <w:sz w:val="24"/>
          <w:szCs w:val="24"/>
        </w:rPr>
        <w:t>dos principais efeitos</w:t>
      </w:r>
      <w:r w:rsidR="00883138">
        <w:rPr>
          <w:rFonts w:ascii="Times New Roman" w:hAnsi="Times New Roman" w:cs="Times New Roman"/>
          <w:sz w:val="24"/>
          <w:szCs w:val="24"/>
        </w:rPr>
        <w:t>. A</w:t>
      </w:r>
      <w:r w:rsidRPr="00A90FD1">
        <w:rPr>
          <w:rFonts w:ascii="Times New Roman" w:hAnsi="Times New Roman" w:cs="Times New Roman"/>
          <w:sz w:val="24"/>
          <w:szCs w:val="24"/>
        </w:rPr>
        <w:t xml:space="preserve"> nova Constituição extinguia o </w:t>
      </w:r>
      <w:r w:rsidR="00883138">
        <w:rPr>
          <w:rFonts w:ascii="Times New Roman" w:hAnsi="Times New Roman" w:cs="Times New Roman"/>
          <w:sz w:val="24"/>
          <w:szCs w:val="24"/>
        </w:rPr>
        <w:t xml:space="preserve">Imposto Único sobre Energia Elétrica - </w:t>
      </w:r>
      <w:r w:rsidRPr="00A90FD1">
        <w:rPr>
          <w:rFonts w:ascii="Times New Roman" w:hAnsi="Times New Roman" w:cs="Times New Roman"/>
          <w:sz w:val="24"/>
          <w:szCs w:val="24"/>
        </w:rPr>
        <w:t xml:space="preserve">IUEE e </w:t>
      </w:r>
      <w:r w:rsidR="00883138">
        <w:rPr>
          <w:rFonts w:ascii="Times New Roman" w:hAnsi="Times New Roman" w:cs="Times New Roman"/>
          <w:sz w:val="24"/>
          <w:szCs w:val="24"/>
        </w:rPr>
        <w:t xml:space="preserve">Fundo Federal de Eletrificação - </w:t>
      </w:r>
      <w:r w:rsidRPr="00A90FD1">
        <w:rPr>
          <w:rFonts w:ascii="Times New Roman" w:hAnsi="Times New Roman" w:cs="Times New Roman"/>
          <w:sz w:val="24"/>
          <w:szCs w:val="24"/>
        </w:rPr>
        <w:t>FFE e estabelecia a alíquota de 18 a 25% de ICMS sobre energia elétrica e o Imposto de Renda da</w:t>
      </w:r>
      <w:r w:rsidR="0093776C">
        <w:rPr>
          <w:rFonts w:ascii="Times New Roman" w:hAnsi="Times New Roman" w:cs="Times New Roman"/>
          <w:sz w:val="24"/>
          <w:szCs w:val="24"/>
        </w:rPr>
        <w:t>s</w:t>
      </w:r>
      <w:r w:rsidRPr="00A90FD1">
        <w:rPr>
          <w:rFonts w:ascii="Times New Roman" w:hAnsi="Times New Roman" w:cs="Times New Roman"/>
          <w:sz w:val="24"/>
          <w:szCs w:val="24"/>
        </w:rPr>
        <w:t xml:space="preserve"> empresas passou de 6% para 30%. A moratória acarretou na descontinuidade de financiamentos</w:t>
      </w:r>
      <w:r w:rsidR="00883138">
        <w:rPr>
          <w:rFonts w:ascii="Times New Roman" w:hAnsi="Times New Roman" w:cs="Times New Roman"/>
          <w:sz w:val="24"/>
          <w:szCs w:val="24"/>
        </w:rPr>
        <w:t>,</w:t>
      </w:r>
      <w:r w:rsidRPr="00A90FD1">
        <w:rPr>
          <w:rFonts w:ascii="Times New Roman" w:hAnsi="Times New Roman" w:cs="Times New Roman"/>
          <w:sz w:val="24"/>
          <w:szCs w:val="24"/>
        </w:rPr>
        <w:t xml:space="preserve"> como os do BID e BIRD. Além disso, o Conselho Monetário Nacional (Resolução n.º 1464/88) bloqueou novos financiamento</w:t>
      </w:r>
      <w:r w:rsidR="0097219B">
        <w:rPr>
          <w:rFonts w:ascii="Times New Roman" w:hAnsi="Times New Roman" w:cs="Times New Roman"/>
          <w:sz w:val="24"/>
          <w:szCs w:val="24"/>
        </w:rPr>
        <w:t>s</w:t>
      </w:r>
      <w:r w:rsidRPr="00A90FD1">
        <w:rPr>
          <w:rFonts w:ascii="Times New Roman" w:hAnsi="Times New Roman" w:cs="Times New Roman"/>
          <w:sz w:val="24"/>
          <w:szCs w:val="24"/>
        </w:rPr>
        <w:t xml:space="preserve"> do BNDES às empresas estatais. As medidas geraram uma forte descapitalização do setor, que passou a conviver com a letargia, quando não paralisação completa, nas obras em andamento (MELLO, 2001)</w:t>
      </w:r>
      <w:r w:rsidR="00561F70">
        <w:rPr>
          <w:rFonts w:ascii="Times New Roman" w:hAnsi="Times New Roman" w:cs="Times New Roman"/>
          <w:sz w:val="24"/>
          <w:szCs w:val="24"/>
        </w:rPr>
        <w:t>.</w:t>
      </w:r>
    </w:p>
    <w:p w:rsidR="001A09F7" w:rsidRPr="00A90FD1" w:rsidRDefault="001A09F7"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Ao final da década de 1980, a tendência à privatização já </w:t>
      </w:r>
      <w:r w:rsidR="00423B6D" w:rsidRPr="00A90FD1">
        <w:rPr>
          <w:rFonts w:ascii="Times New Roman" w:hAnsi="Times New Roman" w:cs="Times New Roman"/>
          <w:sz w:val="24"/>
          <w:szCs w:val="24"/>
        </w:rPr>
        <w:t>se tornava</w:t>
      </w:r>
      <w:r w:rsidRPr="00A90FD1">
        <w:rPr>
          <w:rFonts w:ascii="Times New Roman" w:hAnsi="Times New Roman" w:cs="Times New Roman"/>
          <w:sz w:val="24"/>
          <w:szCs w:val="24"/>
        </w:rPr>
        <w:t xml:space="preserve"> clara. Como exemplo, ativos da Celg (estatal de Goiás) foram desmembrados para formação da Companhia de energia Elétrica do Estado de Tocantins – Celtins, mas não permaneceriam sob controle do novo ente federativo, pois foram leiloados já no mês seguinte a constituição da empresa.</w:t>
      </w:r>
    </w:p>
    <w:p w:rsidR="001A09F7" w:rsidRPr="00A90FD1" w:rsidRDefault="001A09F7"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Em 1990, ainda no início do Governo Collor de Melo foi instituído (Lei n.º 8031/90) o Programa Nacional de Desestatização (um novo sentido para a sigla PND). No mesmo 12 de abril, promovia-se uma reforma ministerial (Lei n.º 8028/90), que extinguiu o MME, cujas atribuições, assim como das pastas de transporte e comunicação, passariam ao novo Ministério da Infraestrutura - Minfra. Todavia, não demoraria para a mudança retroceder. Em maio de 1992 (Lei n.º 8422/92) o Ministério de Minas e Energia foi recriado. No mesmo ano, já em meio à crise que levaria ao processo de impeachment de Collor e sua saída pela renúncia, seriam incluídas as duas primeiras companhias elétricas no PND, Escelsa e Light. O processo de privatização no setor foi intenso no Governo Fernando Henrique Cardoso (MELLO, 2001).</w:t>
      </w:r>
    </w:p>
    <w:p w:rsidR="001A09F7" w:rsidRPr="00A90FD1" w:rsidRDefault="001A09F7"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Em 1993, uma medida no sentido de tornar as empresas do setor elétrico atraentes ao capital privado foi a eliminação da equalização tarifária</w:t>
      </w:r>
      <w:r w:rsidR="00423B6D">
        <w:rPr>
          <w:rFonts w:ascii="Times New Roman" w:hAnsi="Times New Roman" w:cs="Times New Roman"/>
          <w:sz w:val="24"/>
          <w:szCs w:val="24"/>
        </w:rPr>
        <w:t xml:space="preserve"> </w:t>
      </w:r>
      <w:r w:rsidR="00423B6D" w:rsidRPr="00A90FD1">
        <w:rPr>
          <w:rFonts w:ascii="Times New Roman" w:hAnsi="Times New Roman" w:cs="Times New Roman"/>
          <w:sz w:val="24"/>
          <w:szCs w:val="24"/>
        </w:rPr>
        <w:t>(Lei n.º 8631/93)</w:t>
      </w:r>
      <w:r w:rsidRPr="00A90FD1">
        <w:rPr>
          <w:rFonts w:ascii="Times New Roman" w:hAnsi="Times New Roman" w:cs="Times New Roman"/>
          <w:sz w:val="24"/>
          <w:szCs w:val="24"/>
        </w:rPr>
        <w:t>, fim do serviço pelo custo com remuneração garantida e reconhecimento de créditos (na Conta Resultados a Compensar – CRC), que pelo encontro de contas, para quitação das dívidas de companhias de energia elétrica com a União, fez o Tesouro assumir débitos de quase US$ 20 bilhões. No mesmo ano, outra medida para estimular a participação privada na geração elétrica veio com a abertura da malha de transmissão do grupo Eletrobras, pela criação do Sistema Nacional de Transmissão de Energia Elétrica – Sintrel (MELLO, 2001).</w:t>
      </w:r>
    </w:p>
    <w:p w:rsidR="001A09F7" w:rsidRPr="00A90FD1" w:rsidRDefault="001A09F7"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lastRenderedPageBreak/>
        <w:t>Na atividade de planejamento, apresentava-se, em 1993, o Plano 2015, elaborado pela Eletrobrás. Figuravam obras para instalação de hidrelétricas na Amazônia e alternativas térmicas, caso houvesse inviabilidade do ponto de vista ambiental. Nesse plano também se incluíam intercâmbios energéticos internacionais, como do gasoduto Brasil-Bolívia.</w:t>
      </w:r>
    </w:p>
    <w:p w:rsidR="001A09F7" w:rsidRPr="00A90FD1" w:rsidRDefault="001A09F7" w:rsidP="008531FF">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Em 1995, foram regulamentados os regimes de concorrência para outorga de concessões na distribuição (Lei 8987/95) e na geração de energia elétrica (Lei n.º 9079/95). Em maio daquele ano, as empresas do grupo Eletrobras foram incluídas no PND (Decreto 1503/95). Ainda naquele ano iniciariam os leilões das estatais do setor elétrico. Até 2002, só no setor elétrico, 23 empresas</w:t>
      </w:r>
      <w:r w:rsidR="00423B6D">
        <w:rPr>
          <w:rFonts w:ascii="Times New Roman" w:hAnsi="Times New Roman" w:cs="Times New Roman"/>
          <w:sz w:val="24"/>
          <w:szCs w:val="24"/>
        </w:rPr>
        <w:t xml:space="preserve"> </w:t>
      </w:r>
      <w:r w:rsidRPr="00A90FD1">
        <w:rPr>
          <w:rFonts w:ascii="Times New Roman" w:hAnsi="Times New Roman" w:cs="Times New Roman"/>
          <w:sz w:val="24"/>
          <w:szCs w:val="24"/>
        </w:rPr>
        <w:t xml:space="preserve">foram privatizadas. Uma prática comum era a divisão das empresas em duas ou mais para posterior venda. Estão na lista de empresas privatizadas tanto as federais como empresas estaduais. Um bom número delas </w:t>
      </w:r>
      <w:r w:rsidR="00423B6D">
        <w:rPr>
          <w:rFonts w:ascii="Times New Roman" w:hAnsi="Times New Roman" w:cs="Times New Roman"/>
          <w:sz w:val="24"/>
          <w:szCs w:val="24"/>
        </w:rPr>
        <w:t xml:space="preserve">passou ao controle estrangeiro, </w:t>
      </w:r>
      <w:r w:rsidRPr="00A90FD1">
        <w:rPr>
          <w:rFonts w:ascii="Times New Roman" w:hAnsi="Times New Roman" w:cs="Times New Roman"/>
          <w:sz w:val="24"/>
          <w:szCs w:val="24"/>
        </w:rPr>
        <w:t>de empresas dos EUA, Espanha, Portugal, Chile, França, entre outros paíse</w:t>
      </w:r>
      <w:r w:rsidR="00423B6D">
        <w:rPr>
          <w:rFonts w:ascii="Times New Roman" w:hAnsi="Times New Roman" w:cs="Times New Roman"/>
          <w:sz w:val="24"/>
          <w:szCs w:val="24"/>
        </w:rPr>
        <w:t>s</w:t>
      </w:r>
      <w:r w:rsidRPr="00A90FD1">
        <w:rPr>
          <w:rFonts w:ascii="Times New Roman" w:hAnsi="Times New Roman" w:cs="Times New Roman"/>
          <w:sz w:val="24"/>
          <w:szCs w:val="24"/>
        </w:rPr>
        <w:t>.</w:t>
      </w:r>
    </w:p>
    <w:p w:rsidR="001A09F7" w:rsidRPr="00A90FD1" w:rsidRDefault="001A09F7" w:rsidP="00A90FD1">
      <w:pPr>
        <w:spacing w:line="360" w:lineRule="auto"/>
        <w:jc w:val="both"/>
        <w:rPr>
          <w:rFonts w:ascii="Times New Roman" w:hAnsi="Times New Roman" w:cs="Times New Roman"/>
          <w:sz w:val="24"/>
          <w:szCs w:val="24"/>
        </w:rPr>
      </w:pPr>
    </w:p>
    <w:p w:rsidR="001A09F7" w:rsidRPr="00A90FD1" w:rsidRDefault="001A09F7" w:rsidP="00A90FD1">
      <w:pPr>
        <w:pStyle w:val="Legenda"/>
        <w:spacing w:line="360" w:lineRule="auto"/>
        <w:jc w:val="both"/>
        <w:rPr>
          <w:rFonts w:ascii="Times New Roman" w:hAnsi="Times New Roman" w:cs="Times New Roman"/>
          <w:sz w:val="24"/>
          <w:szCs w:val="24"/>
        </w:rPr>
      </w:pPr>
      <w:bookmarkStart w:id="2" w:name="_Toc30548358"/>
      <w:r w:rsidRPr="00A90FD1">
        <w:rPr>
          <w:rFonts w:ascii="Times New Roman" w:hAnsi="Times New Roman" w:cs="Times New Roman"/>
          <w:sz w:val="24"/>
          <w:szCs w:val="24"/>
        </w:rPr>
        <w:t xml:space="preserve">Quadro </w:t>
      </w:r>
      <w:r w:rsidR="00400632">
        <w:rPr>
          <w:rFonts w:ascii="Times New Roman" w:hAnsi="Times New Roman" w:cs="Times New Roman"/>
          <w:sz w:val="24"/>
          <w:szCs w:val="24"/>
        </w:rPr>
        <w:fldChar w:fldCharType="begin"/>
      </w:r>
      <w:r w:rsidR="00240131">
        <w:rPr>
          <w:rFonts w:ascii="Times New Roman" w:hAnsi="Times New Roman" w:cs="Times New Roman"/>
          <w:sz w:val="24"/>
          <w:szCs w:val="24"/>
        </w:rPr>
        <w:instrText xml:space="preserve"> SEQ Quadro \* ARABIC </w:instrText>
      </w:r>
      <w:r w:rsidR="00400632">
        <w:rPr>
          <w:rFonts w:ascii="Times New Roman" w:hAnsi="Times New Roman" w:cs="Times New Roman"/>
          <w:sz w:val="24"/>
          <w:szCs w:val="24"/>
        </w:rPr>
        <w:fldChar w:fldCharType="separate"/>
      </w:r>
      <w:r w:rsidR="00240131">
        <w:rPr>
          <w:rFonts w:ascii="Times New Roman" w:hAnsi="Times New Roman" w:cs="Times New Roman"/>
          <w:noProof/>
          <w:sz w:val="24"/>
          <w:szCs w:val="24"/>
        </w:rPr>
        <w:t>1</w:t>
      </w:r>
      <w:r w:rsidR="00400632">
        <w:rPr>
          <w:rFonts w:ascii="Times New Roman" w:hAnsi="Times New Roman" w:cs="Times New Roman"/>
          <w:sz w:val="24"/>
          <w:szCs w:val="24"/>
        </w:rPr>
        <w:fldChar w:fldCharType="end"/>
      </w:r>
      <w:r w:rsidRPr="00A90FD1">
        <w:rPr>
          <w:rFonts w:ascii="Times New Roman" w:hAnsi="Times New Roman" w:cs="Times New Roman"/>
          <w:sz w:val="24"/>
          <w:szCs w:val="24"/>
        </w:rPr>
        <w:t>: Privatizações do setor elétrico no Brasil</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74"/>
        <w:gridCol w:w="1207"/>
        <w:gridCol w:w="915"/>
        <w:gridCol w:w="2555"/>
        <w:gridCol w:w="940"/>
        <w:gridCol w:w="863"/>
        <w:gridCol w:w="590"/>
      </w:tblGrid>
      <w:tr w:rsidR="0021385A" w:rsidRPr="00D039EC" w:rsidTr="0021385A">
        <w:trPr>
          <w:trHeight w:val="759"/>
        </w:trPr>
        <w:tc>
          <w:tcPr>
            <w:tcW w:w="910" w:type="pct"/>
            <w:shd w:val="clear" w:color="000000" w:fill="D8D8D8"/>
            <w:vAlign w:val="center"/>
            <w:hideMark/>
          </w:tcPr>
          <w:p w:rsidR="0021385A" w:rsidRPr="00D039EC" w:rsidRDefault="0021385A" w:rsidP="00D039EC">
            <w:pPr>
              <w:spacing w:line="240" w:lineRule="auto"/>
              <w:jc w:val="both"/>
              <w:rPr>
                <w:rFonts w:ascii="Times New Roman" w:hAnsi="Times New Roman" w:cs="Times New Roman"/>
                <w:b/>
                <w:bCs/>
                <w:sz w:val="20"/>
                <w:szCs w:val="20"/>
              </w:rPr>
            </w:pPr>
            <w:r w:rsidRPr="00D039EC">
              <w:rPr>
                <w:rFonts w:ascii="Times New Roman" w:hAnsi="Times New Roman" w:cs="Times New Roman"/>
                <w:b/>
                <w:bCs/>
                <w:sz w:val="20"/>
                <w:szCs w:val="20"/>
              </w:rPr>
              <w:t>Nome</w:t>
            </w:r>
          </w:p>
        </w:tc>
        <w:tc>
          <w:tcPr>
            <w:tcW w:w="698" w:type="pct"/>
            <w:shd w:val="clear" w:color="000000" w:fill="D8D8D8"/>
            <w:vAlign w:val="center"/>
            <w:hideMark/>
          </w:tcPr>
          <w:p w:rsidR="0021385A" w:rsidRPr="00D039EC" w:rsidRDefault="0021385A" w:rsidP="00D039EC">
            <w:pPr>
              <w:spacing w:line="240" w:lineRule="auto"/>
              <w:jc w:val="both"/>
              <w:rPr>
                <w:rFonts w:ascii="Times New Roman" w:hAnsi="Times New Roman" w:cs="Times New Roman"/>
                <w:b/>
                <w:bCs/>
                <w:sz w:val="20"/>
                <w:szCs w:val="20"/>
              </w:rPr>
            </w:pPr>
            <w:r w:rsidRPr="00D039EC">
              <w:rPr>
                <w:rFonts w:ascii="Times New Roman" w:hAnsi="Times New Roman" w:cs="Times New Roman"/>
                <w:b/>
                <w:bCs/>
                <w:sz w:val="20"/>
                <w:szCs w:val="20"/>
              </w:rPr>
              <w:t>Data de</w:t>
            </w:r>
          </w:p>
          <w:p w:rsidR="0021385A" w:rsidRPr="00D039EC" w:rsidRDefault="0021385A" w:rsidP="00D039EC">
            <w:pPr>
              <w:jc w:val="both"/>
              <w:rPr>
                <w:rFonts w:ascii="Times New Roman" w:hAnsi="Times New Roman" w:cs="Times New Roman"/>
                <w:b/>
                <w:bCs/>
                <w:sz w:val="20"/>
                <w:szCs w:val="20"/>
              </w:rPr>
            </w:pPr>
            <w:r w:rsidRPr="00D039EC">
              <w:rPr>
                <w:rFonts w:ascii="Times New Roman" w:hAnsi="Times New Roman" w:cs="Times New Roman"/>
                <w:b/>
                <w:bCs/>
                <w:sz w:val="20"/>
                <w:szCs w:val="20"/>
              </w:rPr>
              <w:t>Privatização</w:t>
            </w:r>
          </w:p>
        </w:tc>
        <w:tc>
          <w:tcPr>
            <w:tcW w:w="529" w:type="pct"/>
            <w:shd w:val="clear" w:color="000000" w:fill="D8D8D8"/>
            <w:vAlign w:val="center"/>
            <w:hideMark/>
          </w:tcPr>
          <w:p w:rsidR="0021385A" w:rsidRPr="00D039EC" w:rsidRDefault="0021385A" w:rsidP="00D039EC">
            <w:pPr>
              <w:spacing w:line="240" w:lineRule="auto"/>
              <w:jc w:val="both"/>
              <w:rPr>
                <w:rFonts w:ascii="Times New Roman" w:hAnsi="Times New Roman" w:cs="Times New Roman"/>
                <w:b/>
                <w:bCs/>
                <w:sz w:val="20"/>
                <w:szCs w:val="20"/>
              </w:rPr>
            </w:pPr>
            <w:r w:rsidRPr="00D039EC">
              <w:rPr>
                <w:rFonts w:ascii="Times New Roman" w:hAnsi="Times New Roman" w:cs="Times New Roman"/>
                <w:b/>
                <w:bCs/>
                <w:sz w:val="20"/>
                <w:szCs w:val="20"/>
              </w:rPr>
              <w:t>Área de Serviço /</w:t>
            </w:r>
          </w:p>
          <w:p w:rsidR="0021385A" w:rsidRPr="00D039EC" w:rsidRDefault="0021385A" w:rsidP="008531FF">
            <w:pPr>
              <w:jc w:val="both"/>
              <w:rPr>
                <w:rFonts w:ascii="Times New Roman" w:hAnsi="Times New Roman" w:cs="Times New Roman"/>
                <w:b/>
                <w:bCs/>
                <w:sz w:val="20"/>
                <w:szCs w:val="20"/>
              </w:rPr>
            </w:pPr>
            <w:r w:rsidRPr="00D039EC">
              <w:rPr>
                <w:rFonts w:ascii="Times New Roman" w:hAnsi="Times New Roman" w:cs="Times New Roman"/>
                <w:b/>
                <w:bCs/>
                <w:sz w:val="20"/>
                <w:szCs w:val="20"/>
              </w:rPr>
              <w:t>Local</w:t>
            </w:r>
          </w:p>
        </w:tc>
        <w:tc>
          <w:tcPr>
            <w:tcW w:w="1478" w:type="pct"/>
            <w:shd w:val="clear" w:color="000000" w:fill="D8D8D8"/>
            <w:vAlign w:val="center"/>
            <w:hideMark/>
          </w:tcPr>
          <w:p w:rsidR="0021385A" w:rsidRPr="00D039EC" w:rsidRDefault="0021385A" w:rsidP="00D039EC">
            <w:pPr>
              <w:spacing w:line="240" w:lineRule="auto"/>
              <w:jc w:val="both"/>
              <w:rPr>
                <w:rFonts w:ascii="Times New Roman" w:hAnsi="Times New Roman" w:cs="Times New Roman"/>
                <w:b/>
                <w:bCs/>
                <w:sz w:val="20"/>
                <w:szCs w:val="20"/>
              </w:rPr>
            </w:pPr>
            <w:r w:rsidRPr="00D039EC">
              <w:rPr>
                <w:rFonts w:ascii="Times New Roman" w:hAnsi="Times New Roman" w:cs="Times New Roman"/>
                <w:b/>
                <w:bCs/>
                <w:sz w:val="20"/>
                <w:szCs w:val="20"/>
              </w:rPr>
              <w:t>Comprador</w:t>
            </w:r>
          </w:p>
        </w:tc>
        <w:tc>
          <w:tcPr>
            <w:tcW w:w="544" w:type="pct"/>
            <w:shd w:val="clear" w:color="000000" w:fill="D8D8D8"/>
            <w:vAlign w:val="center"/>
            <w:hideMark/>
          </w:tcPr>
          <w:p w:rsidR="0021385A" w:rsidRPr="00D039EC" w:rsidRDefault="0021385A" w:rsidP="00D039EC">
            <w:pPr>
              <w:spacing w:line="240" w:lineRule="auto"/>
              <w:jc w:val="both"/>
              <w:rPr>
                <w:rFonts w:ascii="Times New Roman" w:hAnsi="Times New Roman" w:cs="Times New Roman"/>
                <w:b/>
                <w:bCs/>
                <w:sz w:val="20"/>
                <w:szCs w:val="20"/>
              </w:rPr>
            </w:pPr>
            <w:r w:rsidRPr="00D039EC">
              <w:rPr>
                <w:rFonts w:ascii="Times New Roman" w:hAnsi="Times New Roman" w:cs="Times New Roman"/>
                <w:b/>
                <w:bCs/>
                <w:sz w:val="20"/>
                <w:szCs w:val="20"/>
              </w:rPr>
              <w:t>Preço</w:t>
            </w:r>
          </w:p>
          <w:p w:rsidR="0021385A" w:rsidRPr="00D039EC" w:rsidRDefault="0021385A" w:rsidP="00D039EC">
            <w:pPr>
              <w:jc w:val="both"/>
              <w:rPr>
                <w:rFonts w:ascii="Times New Roman" w:hAnsi="Times New Roman" w:cs="Times New Roman"/>
                <w:b/>
                <w:bCs/>
                <w:sz w:val="20"/>
                <w:szCs w:val="20"/>
              </w:rPr>
            </w:pPr>
            <w:r w:rsidRPr="00D039EC">
              <w:rPr>
                <w:rFonts w:ascii="Times New Roman" w:hAnsi="Times New Roman" w:cs="Times New Roman"/>
                <w:b/>
                <w:bCs/>
                <w:sz w:val="20"/>
                <w:szCs w:val="20"/>
              </w:rPr>
              <w:t>R$ Milhões</w:t>
            </w:r>
          </w:p>
        </w:tc>
        <w:tc>
          <w:tcPr>
            <w:tcW w:w="499" w:type="pct"/>
            <w:shd w:val="clear" w:color="000000" w:fill="D8D8D8"/>
            <w:vAlign w:val="center"/>
            <w:hideMark/>
          </w:tcPr>
          <w:p w:rsidR="0021385A" w:rsidRPr="00D039EC" w:rsidRDefault="0021385A" w:rsidP="00D039EC">
            <w:pPr>
              <w:spacing w:line="240" w:lineRule="auto"/>
              <w:jc w:val="both"/>
              <w:rPr>
                <w:rFonts w:ascii="Times New Roman" w:hAnsi="Times New Roman" w:cs="Times New Roman"/>
                <w:b/>
                <w:bCs/>
                <w:sz w:val="20"/>
                <w:szCs w:val="20"/>
              </w:rPr>
            </w:pPr>
            <w:r w:rsidRPr="00D039EC">
              <w:rPr>
                <w:rFonts w:ascii="Times New Roman" w:hAnsi="Times New Roman" w:cs="Times New Roman"/>
                <w:b/>
                <w:bCs/>
                <w:sz w:val="20"/>
                <w:szCs w:val="20"/>
              </w:rPr>
              <w:t>%</w:t>
            </w:r>
          </w:p>
          <w:p w:rsidR="0021385A" w:rsidRPr="00D039EC" w:rsidRDefault="0021385A" w:rsidP="00D039EC">
            <w:pPr>
              <w:jc w:val="both"/>
              <w:rPr>
                <w:rFonts w:ascii="Times New Roman" w:hAnsi="Times New Roman" w:cs="Times New Roman"/>
                <w:b/>
                <w:bCs/>
                <w:sz w:val="20"/>
                <w:szCs w:val="20"/>
              </w:rPr>
            </w:pPr>
            <w:r w:rsidRPr="00D039EC">
              <w:rPr>
                <w:rFonts w:ascii="Times New Roman" w:hAnsi="Times New Roman" w:cs="Times New Roman"/>
                <w:b/>
                <w:bCs/>
                <w:sz w:val="20"/>
                <w:szCs w:val="20"/>
              </w:rPr>
              <w:t>Vendida</w:t>
            </w:r>
          </w:p>
        </w:tc>
        <w:tc>
          <w:tcPr>
            <w:tcW w:w="341" w:type="pct"/>
            <w:shd w:val="clear" w:color="000000" w:fill="D8D8D8"/>
            <w:vAlign w:val="center"/>
            <w:hideMark/>
          </w:tcPr>
          <w:p w:rsidR="0021385A" w:rsidRPr="00D039EC" w:rsidRDefault="0021385A" w:rsidP="00D039EC">
            <w:pPr>
              <w:spacing w:line="240" w:lineRule="auto"/>
              <w:jc w:val="both"/>
              <w:rPr>
                <w:rFonts w:ascii="Times New Roman" w:hAnsi="Times New Roman" w:cs="Times New Roman"/>
                <w:b/>
                <w:bCs/>
                <w:sz w:val="20"/>
                <w:szCs w:val="20"/>
              </w:rPr>
            </w:pPr>
            <w:r w:rsidRPr="00D039EC">
              <w:rPr>
                <w:rFonts w:ascii="Times New Roman" w:hAnsi="Times New Roman" w:cs="Times New Roman"/>
                <w:b/>
                <w:bCs/>
                <w:sz w:val="20"/>
                <w:szCs w:val="20"/>
              </w:rPr>
              <w:t>Ágio</w:t>
            </w:r>
          </w:p>
          <w:p w:rsidR="0021385A" w:rsidRPr="00D039EC" w:rsidRDefault="0021385A" w:rsidP="00D039EC">
            <w:pPr>
              <w:jc w:val="both"/>
              <w:rPr>
                <w:rFonts w:ascii="Times New Roman" w:hAnsi="Times New Roman" w:cs="Times New Roman"/>
                <w:b/>
                <w:bCs/>
                <w:sz w:val="20"/>
                <w:szCs w:val="20"/>
              </w:rPr>
            </w:pPr>
            <w:r w:rsidRPr="00D039EC">
              <w:rPr>
                <w:rFonts w:ascii="Times New Roman" w:hAnsi="Times New Roman" w:cs="Times New Roman"/>
                <w:b/>
                <w:bCs/>
                <w:sz w:val="20"/>
                <w:szCs w:val="20"/>
              </w:rPr>
              <w:t>(%)</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ESCELSA</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12/jul/95</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ES</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IVEN S. A , GTD Participações</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385</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50</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11,78</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LIGHT</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21/mai/96</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RJ</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AES; Houston; EdF; CSN.</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2.230,00</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51</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CERJ (AMPLA)</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20/nov/96</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RJ</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Endesa(Sp); Enersis; Ed Port.</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605,3</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70,26</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30,27</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COELBA</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31/jul/97</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BA</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Iberdrola; BrasilCap; Previ; BBDTVM</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1.730,90</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65,64</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77,38</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AES SUL</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21/out/97</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RS</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AES</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1.510,00</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90,91</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93,56</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RGE</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21/out/97</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RS</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CEA; VBC ; Previ</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1.635,00</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90,75</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82,7</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CPFL</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05/nov/97</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SP</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VBC ; Previ; Fundação CESP</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3015</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57,6</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70,1</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ENERSUL</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19/nov/97</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MS</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Escelsa</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625,6</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76,56</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83,79</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CEMAT</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27/nov/97</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MT</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Grupo Rede; Inepar</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391,5</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85,1</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21,09</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ENERGIPE</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03/dez/97</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SE</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Cataguazes; Uptick</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577,1</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85,73</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96,05</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COSERN</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11/dez/97</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RN</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Coelba; Guaraniana; Uptick</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676,4</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77,92</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73,6</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COELCE</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02/abr/98</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CE</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Consócio Distriluz (Enersis Chilectra, Endesa, Cerj)</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867,7</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82,69</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27,2</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ELETROPAULO</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15/abr/98</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SP</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Consórcio Lightgás</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2.026,00</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74,88</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CELPA</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09/jul/98</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PA</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QMRA Participações S. A. (Grupo Rede e Inepar)</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450,3</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54,98</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ELEKTRO</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16/jul/98</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SP / MS</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Grupo Enron Internacional</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1.479,00</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46,6</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98,94</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CACHOEIRA DOURADA</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05/set/97</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GO</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Endesa / Edegel / Fundos de Investimentos</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779,8</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92,9</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43,49</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GERASUL</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15/set/98</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RS</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Tractebel(Belga)</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945,7</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50,01</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lastRenderedPageBreak/>
              <w:t>BANDEIRANTE</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17/set/98</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SP</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EDP (Portugal) - CPFL</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1.014,00</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74,88</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0</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CESP Tiête</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27/out/99</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SP</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AES Gerasul Emp</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938,07</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29,97</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BORBOREMA</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30/nov/99</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PB</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Cataguazes-Leopoldina</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87,38</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CELPE</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20/fev/00</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PE</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Iberdrola/Previ/BB</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1.780</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79,62</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CEMAR</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15/06/2000</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MA</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PP&amp;L</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552,8</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86,25</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SAELPA</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31-11-2000</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PB</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Cataguazes-Leopoldina</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363</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CTEEP</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28/06/2006</w:t>
            </w: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SP</w:t>
            </w: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ISA (Interconexión Eléctrica S/A Esp)</w:t>
            </w: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1.193</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w:t>
            </w: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sz w:val="20"/>
                <w:szCs w:val="20"/>
              </w:rPr>
            </w:pPr>
            <w:r w:rsidRPr="00D039EC">
              <w:rPr>
                <w:rFonts w:ascii="Times New Roman" w:hAnsi="Times New Roman" w:cs="Times New Roman"/>
                <w:sz w:val="20"/>
                <w:szCs w:val="20"/>
              </w:rPr>
              <w:t>57,89</w:t>
            </w:r>
          </w:p>
        </w:tc>
      </w:tr>
      <w:tr w:rsidR="001A09F7" w:rsidRPr="00D039EC" w:rsidTr="0021385A">
        <w:trPr>
          <w:trHeight w:val="315"/>
        </w:trPr>
        <w:tc>
          <w:tcPr>
            <w:tcW w:w="910"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b/>
                <w:bCs/>
                <w:sz w:val="20"/>
                <w:szCs w:val="20"/>
              </w:rPr>
            </w:pPr>
            <w:r w:rsidRPr="00D039EC">
              <w:rPr>
                <w:rFonts w:ascii="Times New Roman" w:hAnsi="Times New Roman" w:cs="Times New Roman"/>
                <w:b/>
                <w:bCs/>
                <w:sz w:val="20"/>
                <w:szCs w:val="20"/>
              </w:rPr>
              <w:t>TOTAL</w:t>
            </w:r>
          </w:p>
        </w:tc>
        <w:tc>
          <w:tcPr>
            <w:tcW w:w="69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b/>
                <w:bCs/>
                <w:sz w:val="20"/>
                <w:szCs w:val="20"/>
              </w:rPr>
            </w:pPr>
          </w:p>
        </w:tc>
        <w:tc>
          <w:tcPr>
            <w:tcW w:w="52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b/>
                <w:bCs/>
                <w:sz w:val="20"/>
                <w:szCs w:val="20"/>
              </w:rPr>
            </w:pPr>
          </w:p>
        </w:tc>
        <w:tc>
          <w:tcPr>
            <w:tcW w:w="1478"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b/>
                <w:bCs/>
                <w:sz w:val="20"/>
                <w:szCs w:val="20"/>
              </w:rPr>
            </w:pPr>
          </w:p>
        </w:tc>
        <w:tc>
          <w:tcPr>
            <w:tcW w:w="544"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b/>
                <w:bCs/>
                <w:sz w:val="20"/>
                <w:szCs w:val="20"/>
              </w:rPr>
            </w:pPr>
            <w:r w:rsidRPr="00D039EC">
              <w:rPr>
                <w:rFonts w:ascii="Times New Roman" w:hAnsi="Times New Roman" w:cs="Times New Roman"/>
                <w:b/>
                <w:bCs/>
                <w:sz w:val="20"/>
                <w:szCs w:val="20"/>
              </w:rPr>
              <w:t>25.858,55</w:t>
            </w:r>
          </w:p>
        </w:tc>
        <w:tc>
          <w:tcPr>
            <w:tcW w:w="499"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b/>
                <w:bCs/>
                <w:sz w:val="20"/>
                <w:szCs w:val="20"/>
              </w:rPr>
            </w:pPr>
          </w:p>
        </w:tc>
        <w:tc>
          <w:tcPr>
            <w:tcW w:w="341" w:type="pct"/>
            <w:shd w:val="clear" w:color="auto" w:fill="auto"/>
            <w:vAlign w:val="center"/>
            <w:hideMark/>
          </w:tcPr>
          <w:p w:rsidR="001A09F7" w:rsidRPr="00D039EC" w:rsidRDefault="001A09F7" w:rsidP="00D039EC">
            <w:pPr>
              <w:spacing w:line="240" w:lineRule="auto"/>
              <w:jc w:val="both"/>
              <w:rPr>
                <w:rFonts w:ascii="Times New Roman" w:hAnsi="Times New Roman" w:cs="Times New Roman"/>
                <w:b/>
                <w:bCs/>
                <w:sz w:val="20"/>
                <w:szCs w:val="20"/>
              </w:rPr>
            </w:pPr>
          </w:p>
        </w:tc>
      </w:tr>
    </w:tbl>
    <w:p w:rsidR="001A09F7" w:rsidRPr="001A09F7" w:rsidRDefault="001A09F7" w:rsidP="00A90FD1">
      <w:pPr>
        <w:spacing w:line="360" w:lineRule="auto"/>
        <w:jc w:val="both"/>
        <w:rPr>
          <w:rFonts w:ascii="Times New Roman" w:hAnsi="Times New Roman" w:cs="Times New Roman"/>
          <w:sz w:val="20"/>
          <w:szCs w:val="20"/>
        </w:rPr>
      </w:pPr>
      <w:r w:rsidRPr="001A09F7">
        <w:rPr>
          <w:rFonts w:ascii="Times New Roman" w:hAnsi="Times New Roman" w:cs="Times New Roman"/>
          <w:sz w:val="20"/>
          <w:szCs w:val="20"/>
        </w:rPr>
        <w:t>Fonte: ABRADEE, 2018</w:t>
      </w:r>
    </w:p>
    <w:p w:rsidR="001A09F7" w:rsidRPr="00A90FD1" w:rsidRDefault="001A09F7" w:rsidP="00A90FD1">
      <w:pPr>
        <w:spacing w:line="360" w:lineRule="auto"/>
        <w:jc w:val="both"/>
        <w:rPr>
          <w:rFonts w:ascii="Times New Roman" w:hAnsi="Times New Roman" w:cs="Times New Roman"/>
          <w:sz w:val="24"/>
          <w:szCs w:val="24"/>
        </w:rPr>
      </w:pPr>
    </w:p>
    <w:p w:rsidR="001A09F7" w:rsidRPr="00A90FD1"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Em 1996, foi criada a Agência Nacional de Energia Elétrica – ANEEL (Lei n.º 9427/96), para servir como novo órgão regulador, no lugar do Departamento Nacional de Águas e Energia Elétrica – DNAEE. O modelo de agência teve inspiração no direito norte americano (</w:t>
      </w:r>
      <w:r w:rsidRPr="00A90FD1">
        <w:rPr>
          <w:rFonts w:ascii="Times New Roman" w:hAnsi="Times New Roman" w:cs="Times New Roman"/>
          <w:i/>
          <w:iCs/>
          <w:sz w:val="24"/>
          <w:szCs w:val="24"/>
        </w:rPr>
        <w:t>agency</w:t>
      </w:r>
      <w:r w:rsidRPr="00A90FD1">
        <w:rPr>
          <w:rFonts w:ascii="Times New Roman" w:hAnsi="Times New Roman" w:cs="Times New Roman"/>
          <w:sz w:val="24"/>
          <w:szCs w:val="24"/>
        </w:rPr>
        <w:t>), sendo adaptada paras as leis brasileiras, o que gerou debates sobre sua constitucionalidade. A ANEEL é uma autarquia especial, com relativa independência do Poder Executivo. Sua função, dentro do novo marco, seria a regulamentação e fiscalização do setor. (PAIXÃO, 2009).</w:t>
      </w:r>
    </w:p>
    <w:p w:rsidR="001A09F7" w:rsidRPr="00A90FD1"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Para assessorar a Presidência da República quanto aos planos para o setor elétrico foi criado, em 1997 (Lei n.º 9478/97) o Conselho Nacional de Política Energética - CNPE, no mesmo ano, foi apresentada proposta de um novo marco regulatório, que se adequasse ao sistema elétrico brasileiro, em processo de desverticalização. Com a segregação do setor em quatro áreas, geração, transmissão, distribuição e comercialização, foi proposto pelo MME a criação de um novo órgão para substituir o GCOI e de um mercado autorregulado. A proposição baseava-se em estudo encomendado a um consórcio de firmas inglesas (a liderança por firma brasileira era vetada no edital de chamamento), liderado pela Coopers &amp; Lybrand e pela Lathman &amp; Walkings (MELLO, 2001).</w:t>
      </w:r>
    </w:p>
    <w:p w:rsidR="001A09F7" w:rsidRPr="00A90FD1" w:rsidRDefault="001A033A" w:rsidP="0080540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Foram criados </w:t>
      </w:r>
      <w:r w:rsidR="001A09F7" w:rsidRPr="00A90FD1">
        <w:rPr>
          <w:rFonts w:ascii="Times New Roman" w:hAnsi="Times New Roman" w:cs="Times New Roman"/>
          <w:sz w:val="24"/>
          <w:szCs w:val="24"/>
        </w:rPr>
        <w:t>novos órgãos</w:t>
      </w:r>
      <w:r>
        <w:rPr>
          <w:rFonts w:ascii="Times New Roman" w:hAnsi="Times New Roman" w:cs="Times New Roman"/>
          <w:sz w:val="24"/>
          <w:szCs w:val="24"/>
        </w:rPr>
        <w:t>,</w:t>
      </w:r>
      <w:r w:rsidR="001A09F7" w:rsidRPr="00A90FD1">
        <w:rPr>
          <w:rFonts w:ascii="Times New Roman" w:hAnsi="Times New Roman" w:cs="Times New Roman"/>
          <w:sz w:val="24"/>
          <w:szCs w:val="24"/>
        </w:rPr>
        <w:t xml:space="preserve"> </w:t>
      </w:r>
      <w:r w:rsidRPr="00A90FD1">
        <w:rPr>
          <w:rFonts w:ascii="Times New Roman" w:hAnsi="Times New Roman" w:cs="Times New Roman"/>
          <w:sz w:val="24"/>
          <w:szCs w:val="24"/>
        </w:rPr>
        <w:t xml:space="preserve">o Mercado de Atacado de Energia - MAE e o Operador Nacional do Sistema Elétrico </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NOS,</w:t>
      </w:r>
      <w:r w:rsidRPr="00A90FD1">
        <w:rPr>
          <w:rFonts w:ascii="Times New Roman" w:hAnsi="Times New Roman" w:cs="Times New Roman"/>
          <w:sz w:val="24"/>
          <w:szCs w:val="24"/>
        </w:rPr>
        <w:t xml:space="preserve"> </w:t>
      </w:r>
      <w:r w:rsidR="001A09F7" w:rsidRPr="00A90FD1">
        <w:rPr>
          <w:rFonts w:ascii="Times New Roman" w:hAnsi="Times New Roman" w:cs="Times New Roman"/>
          <w:sz w:val="24"/>
          <w:szCs w:val="24"/>
        </w:rPr>
        <w:t>no ano segu</w:t>
      </w:r>
      <w:r>
        <w:rPr>
          <w:rFonts w:ascii="Times New Roman" w:hAnsi="Times New Roman" w:cs="Times New Roman"/>
          <w:sz w:val="24"/>
          <w:szCs w:val="24"/>
        </w:rPr>
        <w:t>inte (Lei n.º 9648/98)</w:t>
      </w:r>
      <w:r w:rsidR="001A09F7" w:rsidRPr="00A90FD1">
        <w:rPr>
          <w:rFonts w:ascii="Times New Roman" w:hAnsi="Times New Roman" w:cs="Times New Roman"/>
          <w:sz w:val="24"/>
          <w:szCs w:val="24"/>
        </w:rPr>
        <w:t>. Com a criação do ONS, foi extinto o GCOI e transferidas</w:t>
      </w:r>
      <w:r>
        <w:rPr>
          <w:rFonts w:ascii="Times New Roman" w:hAnsi="Times New Roman" w:cs="Times New Roman"/>
          <w:sz w:val="24"/>
          <w:szCs w:val="24"/>
        </w:rPr>
        <w:t xml:space="preserve"> su</w:t>
      </w:r>
      <w:r w:rsidRPr="00A90FD1">
        <w:rPr>
          <w:rFonts w:ascii="Times New Roman" w:hAnsi="Times New Roman" w:cs="Times New Roman"/>
          <w:sz w:val="24"/>
          <w:szCs w:val="24"/>
        </w:rPr>
        <w:t xml:space="preserve">as atribuições de coordenação da operação interligada do sistema, funções de natureza executiva </w:t>
      </w:r>
      <w:r w:rsidR="001A09F7" w:rsidRPr="00A90FD1">
        <w:rPr>
          <w:rFonts w:ascii="Times New Roman" w:hAnsi="Times New Roman" w:cs="Times New Roman"/>
          <w:sz w:val="24"/>
          <w:szCs w:val="24"/>
        </w:rPr>
        <w:t xml:space="preserve">(inclusive parte correspondente das funções do GCON). Já o MAE foi pensado para funcionar como uma bolsa de mercadorias, autorregulado. Todavia seu fracasso revelou a dificuldade da autorregulação e a inviabilidade para um modelo que permanece com alguma </w:t>
      </w:r>
      <w:r w:rsidR="001A09F7" w:rsidRPr="00A90FD1">
        <w:rPr>
          <w:rFonts w:ascii="Times New Roman" w:hAnsi="Times New Roman" w:cs="Times New Roman"/>
          <w:sz w:val="24"/>
          <w:szCs w:val="24"/>
        </w:rPr>
        <w:lastRenderedPageBreak/>
        <w:t>verticalização na cadeia produtiva. Por conta disso a ANEEL assumiu a função reguladora relativa ao MAE, já em 2002 (PAIXÃO, 2009).</w:t>
      </w:r>
    </w:p>
    <w:p w:rsidR="001A09F7" w:rsidRPr="00A90FD1"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Em 1999, a Aneel determin</w:t>
      </w:r>
      <w:r w:rsidR="001A033A">
        <w:rPr>
          <w:rFonts w:ascii="Times New Roman" w:hAnsi="Times New Roman" w:cs="Times New Roman"/>
          <w:sz w:val="24"/>
          <w:szCs w:val="24"/>
        </w:rPr>
        <w:t>ou</w:t>
      </w:r>
      <w:r w:rsidRPr="00A90FD1">
        <w:rPr>
          <w:rFonts w:ascii="Times New Roman" w:hAnsi="Times New Roman" w:cs="Times New Roman"/>
          <w:sz w:val="24"/>
          <w:szCs w:val="24"/>
        </w:rPr>
        <w:t xml:space="preserve"> a extinção do GCPS (Portaria nº 150, de 10 de maio de 1999), que seria então substituída pelo CCPE, todavia os planos elaborados pelo órgão (Planos Decenais) teriam caráter indicativo, não mais normativo. Esse foi, na prática, o abandono do planejamento da expansão do setor elétrico. Não tardaria para as consequências serem sentidas. Os efeitos do modelo de liberalização do setor elétrico foram o desmonte do planejamento e operação, ampliação dos custos de transação e custos regulatórios, além de forte aumento nas tarifas. Pela falta de investimentos, má operação e manutenção foram registrados blecautes no Brasil, no crepúsculo do século XX (SEGER, 2012).</w:t>
      </w:r>
    </w:p>
    <w:p w:rsidR="001A09F7" w:rsidRPr="00A90FD1"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Em junho de 2001, por conta das duas décadas de lentidão na expansão do setor, mascarada pelo baixo crescimento econômico, foi criada a Câmara de Gestão da Crise de Energia Elétrica - GCE (MP n.º 2147/01), presidida por Pedro Parente, ministro-chefe da Casa Civil, que visava medidas emergenciais para o setor. A alternativa foi o racionamento de energia elétrica nas regiões Sudeste, Centro Oeste e Nordeste, que durou oito meses. Outra medida foi a contratação de usinas térmicas emergenciais, que eram previstas no fracassado Programa Prioritário de Termelétricas - PPT, lançado em 2000, objetivando a instalação de usinas a gás natural, para conter a depleção dos reservatórios</w:t>
      </w:r>
      <w:r w:rsidR="001A033A">
        <w:rPr>
          <w:rFonts w:ascii="Times New Roman" w:hAnsi="Times New Roman" w:cs="Times New Roman"/>
          <w:sz w:val="24"/>
          <w:szCs w:val="24"/>
        </w:rPr>
        <w:t xml:space="preserve"> </w:t>
      </w:r>
      <w:r w:rsidRPr="00A90FD1">
        <w:rPr>
          <w:rFonts w:ascii="Times New Roman" w:hAnsi="Times New Roman" w:cs="Times New Roman"/>
          <w:sz w:val="24"/>
          <w:szCs w:val="24"/>
        </w:rPr>
        <w:t>das usinas hidrelétricas do Sistema Interligado Nacional - SIN (SEGER, 2012). A GCE foi substituída, 2002, pela Câmara de Gestão do Setor de Energia Elétrica - CGSE, vinculado ao CNPE.</w:t>
      </w:r>
    </w:p>
    <w:p w:rsidR="001A09F7" w:rsidRPr="00A90FD1"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A conta do “seguro apagão” veio com cobrança de um adicional tarifário, em abril 2002. A mesma legislação (Lei n.º 10438/02) também criava o Programa de Incentivo às fontes Alternativas de Energia - Proinfa e instituía um fundo setorial denominado Conta de Desenvolvimento energético - CDE, gerido pela Eletrobras, para contratação de usinas eólicas, pequenas centrais hidrelétricas (PCH), usinas de biomassa e para promover a universalização dos serviços de energia elétrica. A crise do apagão ensinou o Governo FHC, em ano de eleição, a estabelecer bases para mudança no setor.</w:t>
      </w:r>
    </w:p>
    <w:p w:rsidR="001A09F7" w:rsidRPr="00A90FD1"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Mas o empossado Governo Lula demonstraria uma atenção ao setor elétrico bem mais complacente. No Plano Brasil de Todos (Plano Plurianual 2004-2007), que visava a reintrodução do planejamento econômico e a visão de longo prazo na ação estatal, uma das metas prioritárias referia-se a energia elétrica, pela ainda presente preocupação com o risco de desabastecimento (BRASIL, 2003).</w:t>
      </w:r>
    </w:p>
    <w:p w:rsidR="001A09F7" w:rsidRPr="00A90FD1" w:rsidRDefault="001A09F7" w:rsidP="008F58A5">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lastRenderedPageBreak/>
        <w:t>Conforme o plano</w:t>
      </w:r>
      <w:r w:rsidR="008F58A5">
        <w:rPr>
          <w:rFonts w:ascii="Times New Roman" w:hAnsi="Times New Roman" w:cs="Times New Roman"/>
          <w:sz w:val="24"/>
          <w:szCs w:val="24"/>
        </w:rPr>
        <w:t>,</w:t>
      </w:r>
      <w:r w:rsidRPr="00A90FD1">
        <w:rPr>
          <w:rFonts w:ascii="Times New Roman" w:hAnsi="Times New Roman" w:cs="Times New Roman"/>
          <w:sz w:val="24"/>
          <w:szCs w:val="24"/>
        </w:rPr>
        <w:t xml:space="preserve"> a capacidade de transmissão seria aumentada em 30%, prevendo-se a interligação entre os sistemas Norte-Nordeste, Centro-Oeste e Sudeste-Sul e a redução em 70% do número de residências sem energia (com 1,7 milhões de novas ligações). Para a potência instalada nas usinas elétricas brasileiras o acréscimo seria de 14,1 GW, entre 2004 e 2007, com investimentos da ordem de R$ 27,9 bilhões. Outros 25,9 GW estavam programados para entrar em operação posteriormente a 2007. Nas linhas de transmissão a expansão seria de mais de 12,4 mil km, com investimentos em torno de R$ 11,8 bilhões, entre 2004 e 2007</w:t>
      </w:r>
      <w:r w:rsidR="008F58A5">
        <w:rPr>
          <w:rFonts w:ascii="Times New Roman" w:hAnsi="Times New Roman" w:cs="Times New Roman"/>
          <w:sz w:val="24"/>
          <w:szCs w:val="24"/>
        </w:rPr>
        <w:t>.</w:t>
      </w:r>
      <w:r w:rsidRPr="00A90FD1">
        <w:rPr>
          <w:rFonts w:ascii="Times New Roman" w:hAnsi="Times New Roman" w:cs="Times New Roman"/>
          <w:sz w:val="24"/>
          <w:szCs w:val="24"/>
        </w:rPr>
        <w:t xml:space="preserve"> </w:t>
      </w:r>
      <w:r w:rsidR="008F58A5" w:rsidRPr="00A90FD1">
        <w:rPr>
          <w:rFonts w:ascii="Times New Roman" w:hAnsi="Times New Roman" w:cs="Times New Roman"/>
          <w:sz w:val="24"/>
          <w:szCs w:val="24"/>
        </w:rPr>
        <w:t>O documento elencava em seus anexos uma série de obras a serem constru</w:t>
      </w:r>
      <w:r w:rsidR="008F58A5">
        <w:rPr>
          <w:rFonts w:ascii="Times New Roman" w:hAnsi="Times New Roman" w:cs="Times New Roman"/>
          <w:sz w:val="24"/>
          <w:szCs w:val="24"/>
        </w:rPr>
        <w:t>ídas,  antes de depois de 2007</w:t>
      </w:r>
      <w:r w:rsidR="008F58A5" w:rsidRPr="00A90FD1">
        <w:rPr>
          <w:rFonts w:ascii="Times New Roman" w:hAnsi="Times New Roman" w:cs="Times New Roman"/>
          <w:sz w:val="24"/>
          <w:szCs w:val="24"/>
        </w:rPr>
        <w:t xml:space="preserve"> </w:t>
      </w:r>
      <w:r w:rsidRPr="00A90FD1">
        <w:rPr>
          <w:rFonts w:ascii="Times New Roman" w:hAnsi="Times New Roman" w:cs="Times New Roman"/>
          <w:sz w:val="24"/>
          <w:szCs w:val="24"/>
        </w:rPr>
        <w:t>(BRASIL, 2003).</w:t>
      </w:r>
    </w:p>
    <w:p w:rsidR="001A09F7" w:rsidRPr="00A90FD1"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Em 2003, com o fim do Programa Nacional de Eletrificação Rural - Luz no Campo (que alcançou 648 mil ligações, entre 1999 e 2003), o Governo Lula estabeleceu metas mais ousadas para a universalização do acesso à energia elétrica: seriam 2,1 milhões de ligações, pretendidas com a instituição do Programa Nacional de Universalização do Acesso e Uso da Energia - Luz para Todos (Lei n.º 4873/03). A coordenação cabia a ministra de minas e energia, Dilma Rousseff, e a execução seria feita pela Eletrobrás mais as concessionárias e cooperativas de eletrificação rural. Até 2015, o programa Luz para Todos alcançou a cifra de 3,2 milhões de ligações.</w:t>
      </w:r>
    </w:p>
    <w:p w:rsidR="008F58A5"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Em 2004, o setor elétrico novamente mudava. As maiores novidade (Lei n.º 10847/04) vinham da criação da Empresa de Pesquisa Energética - EPE, que representava a retomada do planejamento integrado, e da modificação do modelo de comercialização de energia elétrica, com a criação da Câmara de Comercialização de Energia Elétrica - CCEE e alteração das regras das licitações (concorrência por menor tarifa, prazos alongados e licenciamento ambiental prévio). Também surgiu, no mesmo diploma legal, o Comitê de Monitoramento do Setor Elétrico - CMSE e o Comitê de Gestão Integrada de Empreendimentos de Gera</w:t>
      </w:r>
      <w:r w:rsidR="008F58A5">
        <w:rPr>
          <w:rFonts w:ascii="Times New Roman" w:hAnsi="Times New Roman" w:cs="Times New Roman"/>
          <w:sz w:val="24"/>
          <w:szCs w:val="24"/>
        </w:rPr>
        <w:t>ção do Setor Elétrico – CGISE. A</w:t>
      </w:r>
      <w:r w:rsidRPr="00A90FD1">
        <w:rPr>
          <w:rFonts w:ascii="Times New Roman" w:hAnsi="Times New Roman" w:cs="Times New Roman"/>
          <w:sz w:val="24"/>
          <w:szCs w:val="24"/>
        </w:rPr>
        <w:t xml:space="preserve">s empresas do grupo Eletrobras </w:t>
      </w:r>
      <w:r w:rsidR="008F58A5">
        <w:rPr>
          <w:rFonts w:ascii="Times New Roman" w:hAnsi="Times New Roman" w:cs="Times New Roman"/>
          <w:sz w:val="24"/>
          <w:szCs w:val="24"/>
        </w:rPr>
        <w:t>também estavam sendo</w:t>
      </w:r>
      <w:r w:rsidRPr="00A90FD1">
        <w:rPr>
          <w:rFonts w:ascii="Times New Roman" w:hAnsi="Times New Roman" w:cs="Times New Roman"/>
          <w:sz w:val="24"/>
          <w:szCs w:val="24"/>
        </w:rPr>
        <w:t xml:space="preserve"> retiradas do PND. </w:t>
      </w:r>
    </w:p>
    <w:p w:rsidR="001A09F7" w:rsidRPr="00A90FD1"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O novo modelo objetivava a estabilidade regulatória, a segurança do suprimento, a modicidade tarifária e a universalização do atendimento. Mas, para Seger (2012), pouco inovou em relação a estrutura institucional e manteve o modelo comercial liberalizante, o que trazia consigo altas tarifas e baixa qualidade de gestão setorial. Por isso não teria sido capaz de fazer um inventário para novos aproveitamentos satisfatório e ficou concentrado na expansão com base fóssil. Ainda que essas considerações sejam verdadeiras, o setor afastou-se da condição de crise e racionamento, sentida no governo anterior.</w:t>
      </w:r>
    </w:p>
    <w:p w:rsidR="001A09F7" w:rsidRPr="00A90FD1" w:rsidRDefault="001A09F7" w:rsidP="00805406">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lastRenderedPageBreak/>
        <w:t>Em 2005, ocorreu o leilão de “energia velha”, primeiro leilão de energia de empreendimentos existentes, com entregas entre 2005 e 2007. O leilão de “energia nova”, ou seja, de novos empreendimentos de geração, para entregas entre 2008 e 2010, ocorreu no ano seguinte. Também em 2005, o Poder Executivo foi autorizado a tocar o projeto de Belo Monte.</w:t>
      </w:r>
    </w:p>
    <w:p w:rsidR="001A09F7" w:rsidRPr="00A90FD1" w:rsidRDefault="008F58A5" w:rsidP="0080540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Em 2006, a EPE entregou</w:t>
      </w:r>
      <w:r w:rsidR="001A09F7" w:rsidRPr="00A90FD1">
        <w:rPr>
          <w:rFonts w:ascii="Times New Roman" w:hAnsi="Times New Roman" w:cs="Times New Roman"/>
          <w:sz w:val="24"/>
          <w:szCs w:val="24"/>
        </w:rPr>
        <w:t xml:space="preserve"> seu primeiro Plano Decenal de Expansão de Energia Elétrica - PDEE - 2006-2015. Desde 1999, o planejamento da expansão do setor elétrico havia sido abandonado, com a extinção do GCPS.</w:t>
      </w:r>
    </w:p>
    <w:p w:rsidR="001A09F7" w:rsidRPr="00A90FD1" w:rsidRDefault="001A09F7" w:rsidP="00A90FD1">
      <w:pPr>
        <w:spacing w:line="360" w:lineRule="auto"/>
        <w:jc w:val="both"/>
        <w:rPr>
          <w:rFonts w:ascii="Times New Roman" w:hAnsi="Times New Roman" w:cs="Times New Roman"/>
          <w:sz w:val="24"/>
          <w:szCs w:val="24"/>
        </w:rPr>
      </w:pPr>
    </w:p>
    <w:p w:rsidR="001A09F7" w:rsidRPr="00A90FD1" w:rsidRDefault="001A09F7" w:rsidP="00A90FD1">
      <w:pPr>
        <w:spacing w:line="360" w:lineRule="auto"/>
        <w:jc w:val="both"/>
        <w:rPr>
          <w:rFonts w:ascii="Times New Roman" w:hAnsi="Times New Roman" w:cs="Times New Roman"/>
          <w:sz w:val="24"/>
          <w:szCs w:val="24"/>
        </w:rPr>
      </w:pPr>
    </w:p>
    <w:p w:rsidR="001A09F7" w:rsidRPr="00A90FD1" w:rsidRDefault="001A09F7" w:rsidP="00C30F50">
      <w:pPr>
        <w:pStyle w:val="Heading1"/>
        <w:numPr>
          <w:ilvl w:val="1"/>
          <w:numId w:val="22"/>
        </w:numPr>
        <w:spacing w:line="360" w:lineRule="auto"/>
        <w:ind w:hanging="720"/>
        <w:jc w:val="both"/>
        <w:rPr>
          <w:rFonts w:ascii="Times New Roman" w:hAnsi="Times New Roman" w:cs="Times New Roman"/>
          <w:sz w:val="24"/>
          <w:szCs w:val="24"/>
        </w:rPr>
      </w:pPr>
      <w:bookmarkStart w:id="3" w:name="_Toc30548814"/>
      <w:r w:rsidRPr="00A90FD1">
        <w:rPr>
          <w:rFonts w:ascii="Times New Roman" w:hAnsi="Times New Roman" w:cs="Times New Roman"/>
          <w:sz w:val="24"/>
          <w:szCs w:val="24"/>
        </w:rPr>
        <w:t xml:space="preserve">Expansão da estrutura física do setor elétrico brasileiro </w:t>
      </w:r>
      <w:bookmarkEnd w:id="3"/>
    </w:p>
    <w:p w:rsidR="001A09F7" w:rsidRPr="00A90FD1" w:rsidRDefault="001A09F7" w:rsidP="00A90FD1">
      <w:pPr>
        <w:spacing w:line="360" w:lineRule="auto"/>
        <w:jc w:val="both"/>
        <w:rPr>
          <w:rFonts w:ascii="Times New Roman" w:hAnsi="Times New Roman" w:cs="Times New Roman"/>
          <w:sz w:val="24"/>
          <w:szCs w:val="24"/>
        </w:rPr>
      </w:pPr>
    </w:p>
    <w:p w:rsidR="0021385A" w:rsidRDefault="001A09F7" w:rsidP="0021385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Nos anos 1980, uma série de empreendimentos iniciados pelo II PND entrou em operação, mantendo elevada a taxa de incremento da capacidade instalada de geração no país</w:t>
      </w:r>
      <w:r w:rsidR="009F3FB7">
        <w:rPr>
          <w:rFonts w:ascii="Times New Roman" w:hAnsi="Times New Roman" w:cs="Times New Roman"/>
          <w:sz w:val="24"/>
          <w:szCs w:val="24"/>
        </w:rPr>
        <w:t xml:space="preserve"> e promovendo uma import</w:t>
      </w:r>
      <w:r w:rsidR="0021385A">
        <w:rPr>
          <w:rFonts w:ascii="Times New Roman" w:hAnsi="Times New Roman" w:cs="Times New Roman"/>
          <w:sz w:val="24"/>
          <w:szCs w:val="24"/>
        </w:rPr>
        <w:t>a</w:t>
      </w:r>
      <w:r w:rsidR="009F3FB7">
        <w:rPr>
          <w:rFonts w:ascii="Times New Roman" w:hAnsi="Times New Roman" w:cs="Times New Roman"/>
          <w:sz w:val="24"/>
          <w:szCs w:val="24"/>
        </w:rPr>
        <w:t>nte expansão das redes elétricas</w:t>
      </w:r>
      <w:r w:rsidRPr="00A90FD1">
        <w:rPr>
          <w:rFonts w:ascii="Times New Roman" w:hAnsi="Times New Roman" w:cs="Times New Roman"/>
          <w:sz w:val="24"/>
          <w:szCs w:val="24"/>
        </w:rPr>
        <w:t xml:space="preserve">. </w:t>
      </w:r>
      <w:r w:rsidR="0021385A">
        <w:rPr>
          <w:rFonts w:ascii="Times New Roman" w:hAnsi="Times New Roman" w:cs="Times New Roman"/>
          <w:sz w:val="24"/>
          <w:szCs w:val="24"/>
        </w:rPr>
        <w:t>Assim o foi</w:t>
      </w:r>
      <w:r w:rsidR="009F3FB7">
        <w:rPr>
          <w:rFonts w:ascii="Times New Roman" w:hAnsi="Times New Roman" w:cs="Times New Roman"/>
          <w:sz w:val="24"/>
          <w:szCs w:val="24"/>
        </w:rPr>
        <w:t xml:space="preserve"> em</w:t>
      </w:r>
      <w:r w:rsidRPr="00A90FD1">
        <w:rPr>
          <w:rFonts w:ascii="Times New Roman" w:hAnsi="Times New Roman" w:cs="Times New Roman"/>
          <w:sz w:val="24"/>
          <w:szCs w:val="24"/>
        </w:rPr>
        <w:t xml:space="preserve"> 1981, </w:t>
      </w:r>
      <w:r w:rsidR="009F3FB7">
        <w:rPr>
          <w:rFonts w:ascii="Times New Roman" w:hAnsi="Times New Roman" w:cs="Times New Roman"/>
          <w:sz w:val="24"/>
          <w:szCs w:val="24"/>
        </w:rPr>
        <w:t xml:space="preserve">quando </w:t>
      </w:r>
      <w:r w:rsidRPr="00A90FD1">
        <w:rPr>
          <w:rFonts w:ascii="Times New Roman" w:hAnsi="Times New Roman" w:cs="Times New Roman"/>
          <w:sz w:val="24"/>
          <w:szCs w:val="24"/>
        </w:rPr>
        <w:t>os sistemas Norte-Nordeste foram interligados por uma extensa linha de transmissão (mais 1700 km) de 500 kV, que partia de Sobradinho (BA), passava por subestações do Piauí, Maranhão e Pará, inclusive pela Hidrelétrica Tucuruí (em construção), até chegar nas proximidades de Belém. As linhas de transmissão associadas a essa usina, portanto, foram a chave para a interligação dos sistemas Norte-Nordeste. Tucuruí, a primeira grande hidrelétrica na Amazônia, com obras de sua primeira etapa iniciadas no bojo do II PND,</w:t>
      </w:r>
      <w:r w:rsidR="0021385A">
        <w:rPr>
          <w:rFonts w:ascii="Times New Roman" w:hAnsi="Times New Roman" w:cs="Times New Roman"/>
          <w:sz w:val="24"/>
          <w:szCs w:val="24"/>
        </w:rPr>
        <w:t xml:space="preserve"> entraria em operação em 1984. </w:t>
      </w:r>
    </w:p>
    <w:p w:rsidR="001A09F7" w:rsidRPr="00A90FD1" w:rsidRDefault="001A09F7" w:rsidP="0021385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No mesmo ano, outra gigante também presente no II PND, Itaipu, também entrou em operação. A usina, localizada na divisa entre Brasil e Paraguai, foi construída e é administrada pela empresa formada por esses dois países, a Itaipu Binacional, que contratou consórcios de outros países, mas também empresas brasileiras e paraguaias para tocar a obra faraônica. Suas unidades foram entrando em operação aos poucos até atingir a capacidade instalada de 12,6 GW, em 1991. Em 1987, a primeira linha de transmissão em corrente alternada associada a Itaipu entrou em operação, em 750 kV. Implantada por Furnas, essa linha de transmissão de energia elétrica, juntamente a de 600 kV de corrente contínua, passaram a formar um eixo e</w:t>
      </w:r>
      <w:r w:rsidR="009F3FB7">
        <w:rPr>
          <w:rFonts w:ascii="Times New Roman" w:hAnsi="Times New Roman" w:cs="Times New Roman"/>
          <w:sz w:val="24"/>
          <w:szCs w:val="24"/>
        </w:rPr>
        <w:t>ssencial do sistema interligado</w:t>
      </w:r>
      <w:r w:rsidRPr="00A90FD1">
        <w:rPr>
          <w:rFonts w:ascii="Times New Roman" w:hAnsi="Times New Roman" w:cs="Times New Roman"/>
          <w:sz w:val="24"/>
          <w:szCs w:val="24"/>
        </w:rPr>
        <w:t xml:space="preserve"> que</w:t>
      </w:r>
      <w:r w:rsidR="009F3FB7">
        <w:rPr>
          <w:rFonts w:ascii="Times New Roman" w:hAnsi="Times New Roman" w:cs="Times New Roman"/>
          <w:sz w:val="24"/>
          <w:szCs w:val="24"/>
        </w:rPr>
        <w:t>,</w:t>
      </w:r>
      <w:r w:rsidRPr="00A90FD1">
        <w:rPr>
          <w:rFonts w:ascii="Times New Roman" w:hAnsi="Times New Roman" w:cs="Times New Roman"/>
          <w:sz w:val="24"/>
          <w:szCs w:val="24"/>
        </w:rPr>
        <w:t xml:space="preserve"> partindo da fronteira, chega ao estado de São Paulo.</w:t>
      </w:r>
    </w:p>
    <w:p w:rsidR="001A09F7" w:rsidRPr="00A90FD1" w:rsidRDefault="001A09F7" w:rsidP="0021385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Em 1985, a Usina Angra I, mais uma das obras do II PND, entrou em operação no Rio de Janeiro, com 640 MW de potência. Todavia isso não significou o domínio </w:t>
      </w:r>
      <w:r w:rsidRPr="00A90FD1">
        <w:rPr>
          <w:rFonts w:ascii="Times New Roman" w:hAnsi="Times New Roman" w:cs="Times New Roman"/>
          <w:sz w:val="24"/>
          <w:szCs w:val="24"/>
        </w:rPr>
        <w:lastRenderedPageBreak/>
        <w:t>tecnológico brasileiro sobre a geração termonuclear, já que não houve transferência de tecnologia no contrato firmado para construção da usina com a Westinghouse. A operação seria feita com urânio enriquecido nos Estados Unidos, trocado por urânio natural brasileiro. A ainda pequena participação de energia nuclear na geração elétrica brasileira é uma condição do processo histórico de desenvolvimento do país. A disponibilidade de potencial hidráulico de geração de energia permitiu isso. Há</w:t>
      </w:r>
      <w:r w:rsidR="009F3FB7">
        <w:rPr>
          <w:rFonts w:ascii="Times New Roman" w:hAnsi="Times New Roman" w:cs="Times New Roman"/>
          <w:sz w:val="24"/>
          <w:szCs w:val="24"/>
        </w:rPr>
        <w:t>, todavia,</w:t>
      </w:r>
      <w:r w:rsidRPr="00A90FD1">
        <w:rPr>
          <w:rFonts w:ascii="Times New Roman" w:hAnsi="Times New Roman" w:cs="Times New Roman"/>
          <w:sz w:val="24"/>
          <w:szCs w:val="24"/>
        </w:rPr>
        <w:t xml:space="preserve"> que se considerar Angra I como um primeiro passo para entrada no segmento.</w:t>
      </w:r>
    </w:p>
    <w:p w:rsidR="001A09F7" w:rsidRPr="00A90FD1" w:rsidRDefault="001A09F7" w:rsidP="0021385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As grandes usinas que entraram em operação no período foram pouco a pouco colocando suas unidades geradoras em operação. Por isso houve um incremento de mais de 25% na capacidade gera</w:t>
      </w:r>
      <w:r w:rsidR="009F3FB7">
        <w:rPr>
          <w:rFonts w:ascii="Times New Roman" w:hAnsi="Times New Roman" w:cs="Times New Roman"/>
          <w:sz w:val="24"/>
          <w:szCs w:val="24"/>
        </w:rPr>
        <w:t>dora do país, entre 1985 e 1989</w:t>
      </w:r>
      <w:r w:rsidRPr="00A90FD1">
        <w:rPr>
          <w:rFonts w:ascii="Times New Roman" w:hAnsi="Times New Roman" w:cs="Times New Roman"/>
          <w:sz w:val="24"/>
          <w:szCs w:val="24"/>
        </w:rPr>
        <w:t>.</w:t>
      </w:r>
    </w:p>
    <w:p w:rsidR="001A09F7" w:rsidRPr="00A90FD1" w:rsidRDefault="001A09F7" w:rsidP="0021385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Na primeira metade da década de 1990, o parque gerador brasileiro estava completamente estagnado. As poucas obras em andamento experimentaram lentidão e paralisações. O único destaque no período foi, em 1994, a conclusão pela Chesf da Hidrelétrica Xingó, no rio São Francisco, no Sergipe, em construção desde 1987. Até 1997 entraram em operação suas seis unidades geradoras, que deram à usina a capacidade total de 3,16 GW.</w:t>
      </w:r>
    </w:p>
    <w:p w:rsidR="001A09F7" w:rsidRPr="00A90FD1" w:rsidRDefault="001A09F7" w:rsidP="0021385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No primeiro mandato de Fernando Henrique Cardoso (FHC), os investimentos em geração de energia elétrica </w:t>
      </w:r>
      <w:r w:rsidR="0021385A">
        <w:rPr>
          <w:rFonts w:ascii="Times New Roman" w:hAnsi="Times New Roman" w:cs="Times New Roman"/>
          <w:sz w:val="24"/>
          <w:szCs w:val="24"/>
        </w:rPr>
        <w:t xml:space="preserve">foram negligenciados </w:t>
      </w:r>
      <w:r w:rsidRPr="00A90FD1">
        <w:rPr>
          <w:rFonts w:ascii="Times New Roman" w:hAnsi="Times New Roman" w:cs="Times New Roman"/>
          <w:sz w:val="24"/>
          <w:szCs w:val="24"/>
        </w:rPr>
        <w:t>e o incremento da potência instalada, entre 1995 e 1998, foi de 13,2%, pouca coisa superior a primeira metade da década. A partir de 1997 o crescimento da capacidade de geração do país teve uma tímida melhora, mas que se mostraria insuficiente para acompanhar a demanda.</w:t>
      </w:r>
    </w:p>
    <w:p w:rsidR="001A09F7" w:rsidRPr="00A90FD1" w:rsidRDefault="001A09F7" w:rsidP="0021385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Em 1997, a Eletrobrás teve mais uma subsidiária, por conta do desmembramento do ramo nuclear de Furnas e sua vinculação diretamente com a </w:t>
      </w:r>
      <w:r w:rsidRPr="00A90FD1">
        <w:rPr>
          <w:rFonts w:ascii="Times New Roman" w:hAnsi="Times New Roman" w:cs="Times New Roman"/>
          <w:i/>
          <w:sz w:val="24"/>
          <w:szCs w:val="24"/>
        </w:rPr>
        <w:t>holding</w:t>
      </w:r>
      <w:r w:rsidRPr="00A90FD1">
        <w:rPr>
          <w:rFonts w:ascii="Times New Roman" w:hAnsi="Times New Roman" w:cs="Times New Roman"/>
          <w:sz w:val="24"/>
          <w:szCs w:val="24"/>
        </w:rPr>
        <w:t>, o que viria ser a Eletronuclear. Àquela altura a nova empresa operava Angra I, mas já construía Angra II e, poucos anos depois projetava a construção de Angra III.</w:t>
      </w:r>
    </w:p>
    <w:p w:rsidR="001A09F7" w:rsidRPr="00A90FD1" w:rsidRDefault="001A09F7" w:rsidP="0021385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No ano seguinte, a Usina Serra da Mesa, em Goiás, foi concluída por Furnas e um consórcio privado (Votarantim, Bradesco e Camargo Corrêa). A usina, que teve início da construção em 1984, tinha uma potência total de 1,28 GW, mas seu imenso reservatório (1.784 km²) era o destaque. Também em 1998, iniciaram as obras para a segunda etapa da Usina Tucuruí, que, em 2003, teria início de operação das primeiras unidades geradoras (</w:t>
      </w:r>
      <w:r w:rsidR="00CC43DC">
        <w:rPr>
          <w:rFonts w:ascii="Times New Roman" w:hAnsi="Times New Roman" w:cs="Times New Roman"/>
          <w:sz w:val="24"/>
          <w:szCs w:val="24"/>
        </w:rPr>
        <w:t xml:space="preserve">primeiras unidades da </w:t>
      </w:r>
      <w:r w:rsidRPr="00A90FD1">
        <w:rPr>
          <w:rFonts w:ascii="Times New Roman" w:hAnsi="Times New Roman" w:cs="Times New Roman"/>
          <w:sz w:val="24"/>
          <w:szCs w:val="24"/>
        </w:rPr>
        <w:t>segunda etapa).</w:t>
      </w:r>
    </w:p>
    <w:p w:rsidR="00CC43DC" w:rsidRDefault="001A09F7" w:rsidP="0021385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Já no segundo mandato de FHC, em 1999, entrou em operação a Usina Hidrelétrica Governador José Richa (Salto Caxias), da Copel, no rio Iguaçu, com uma grande barragem de concreto compactado com rolo, e uma capacidade instalada de 1,24 </w:t>
      </w:r>
      <w:r w:rsidRPr="00A90FD1">
        <w:rPr>
          <w:rFonts w:ascii="Times New Roman" w:hAnsi="Times New Roman" w:cs="Times New Roman"/>
          <w:sz w:val="24"/>
          <w:szCs w:val="24"/>
        </w:rPr>
        <w:lastRenderedPageBreak/>
        <w:t>GW. No mesmo ano, separados por milhares quilômetros, os sistemas elétricos Norte-Nordeste e Sul-Sudeste-Centro Oeste foram, finalmente, conectados, por uma grande linha de transmissão, construída por Furnas e pela Eletronorte, em 500 kV, com 1270 km de extensão, desde o Maranhão até o Distrito F</w:t>
      </w:r>
      <w:r w:rsidR="00CC43DC">
        <w:rPr>
          <w:rFonts w:ascii="Times New Roman" w:hAnsi="Times New Roman" w:cs="Times New Roman"/>
          <w:sz w:val="24"/>
          <w:szCs w:val="24"/>
        </w:rPr>
        <w:t>ederal.</w:t>
      </w:r>
    </w:p>
    <w:p w:rsidR="001A09F7" w:rsidRPr="00A90FD1" w:rsidRDefault="00CC43DC" w:rsidP="0021385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Também</w:t>
      </w:r>
      <w:r w:rsidR="001A09F7" w:rsidRPr="00A90FD1">
        <w:rPr>
          <w:rFonts w:ascii="Times New Roman" w:hAnsi="Times New Roman" w:cs="Times New Roman"/>
          <w:sz w:val="24"/>
          <w:szCs w:val="24"/>
        </w:rPr>
        <w:t>, em 1999, entrou em operação o gasoduto Brasil-Bolívia, que suscitava a const</w:t>
      </w:r>
      <w:r>
        <w:rPr>
          <w:rFonts w:ascii="Times New Roman" w:hAnsi="Times New Roman" w:cs="Times New Roman"/>
          <w:sz w:val="24"/>
          <w:szCs w:val="24"/>
        </w:rPr>
        <w:t xml:space="preserve">rução de térmicas a gás natural. Deve-se ser </w:t>
      </w:r>
      <w:r w:rsidR="001A09F7" w:rsidRPr="00A90FD1">
        <w:rPr>
          <w:rFonts w:ascii="Times New Roman" w:hAnsi="Times New Roman" w:cs="Times New Roman"/>
          <w:sz w:val="24"/>
          <w:szCs w:val="24"/>
        </w:rPr>
        <w:t>somando</w:t>
      </w:r>
      <w:r>
        <w:rPr>
          <w:rFonts w:ascii="Times New Roman" w:hAnsi="Times New Roman" w:cs="Times New Roman"/>
          <w:sz w:val="24"/>
          <w:szCs w:val="24"/>
        </w:rPr>
        <w:t xml:space="preserve"> a isto</w:t>
      </w:r>
      <w:r w:rsidR="001A09F7" w:rsidRPr="00A90FD1">
        <w:rPr>
          <w:rFonts w:ascii="Times New Roman" w:hAnsi="Times New Roman" w:cs="Times New Roman"/>
          <w:sz w:val="24"/>
          <w:szCs w:val="24"/>
        </w:rPr>
        <w:t xml:space="preserve"> a disponibilidade de gás natur</w:t>
      </w:r>
      <w:r>
        <w:rPr>
          <w:rFonts w:ascii="Times New Roman" w:hAnsi="Times New Roman" w:cs="Times New Roman"/>
          <w:sz w:val="24"/>
          <w:szCs w:val="24"/>
        </w:rPr>
        <w:t xml:space="preserve">al brasileiro para o mesmo fim. </w:t>
      </w:r>
      <w:r w:rsidR="001A09F7" w:rsidRPr="00A90FD1">
        <w:rPr>
          <w:rFonts w:ascii="Times New Roman" w:hAnsi="Times New Roman" w:cs="Times New Roman"/>
          <w:sz w:val="24"/>
          <w:szCs w:val="24"/>
        </w:rPr>
        <w:t>A iminente insuficiência da produção de energia elétrica, devido à redução gradual do nível dos reservatórios de usinas do Sudeste, colocava a termeletricidade como alternativa rápida para recomposição da oferta. Enquanto o horizonte de longo prazo dependia das iniciativas das companhias do setor.</w:t>
      </w:r>
    </w:p>
    <w:p w:rsidR="001A09F7" w:rsidRPr="00A90FD1" w:rsidRDefault="00CC43DC" w:rsidP="00D9315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Em</w:t>
      </w:r>
      <w:r w:rsidR="001A09F7" w:rsidRPr="00A90FD1">
        <w:rPr>
          <w:rFonts w:ascii="Times New Roman" w:hAnsi="Times New Roman" w:cs="Times New Roman"/>
          <w:sz w:val="24"/>
          <w:szCs w:val="24"/>
        </w:rPr>
        <w:t xml:space="preserve"> 2000, a Eletronorte e a Eletrobrás </w:t>
      </w:r>
      <w:r w:rsidR="00D93155">
        <w:rPr>
          <w:rFonts w:ascii="Times New Roman" w:hAnsi="Times New Roman" w:cs="Times New Roman"/>
          <w:sz w:val="24"/>
          <w:szCs w:val="24"/>
        </w:rPr>
        <w:t>deram</w:t>
      </w:r>
      <w:r w:rsidR="001A09F7" w:rsidRPr="00A90FD1">
        <w:rPr>
          <w:rFonts w:ascii="Times New Roman" w:hAnsi="Times New Roman" w:cs="Times New Roman"/>
          <w:sz w:val="24"/>
          <w:szCs w:val="24"/>
        </w:rPr>
        <w:t xml:space="preserve"> início a retomada dos estudos de viabilidade do aproveitamento hidráulico do rio Xingu. No final da década de 1980, previa-se que </w:t>
      </w:r>
      <w:r w:rsidR="00D93155">
        <w:rPr>
          <w:rFonts w:ascii="Times New Roman" w:hAnsi="Times New Roman" w:cs="Times New Roman"/>
          <w:sz w:val="24"/>
          <w:szCs w:val="24"/>
        </w:rPr>
        <w:t xml:space="preserve">a Usina de </w:t>
      </w:r>
      <w:r w:rsidR="001A09F7" w:rsidRPr="00A90FD1">
        <w:rPr>
          <w:rFonts w:ascii="Times New Roman" w:hAnsi="Times New Roman" w:cs="Times New Roman"/>
          <w:sz w:val="24"/>
          <w:szCs w:val="24"/>
        </w:rPr>
        <w:t>Belo Monte poderia alcançar mais de 11 GW de potência. Mas os novos estudos tinham que elaborar alternativas com menor impacto ambiental e menor área alagada</w:t>
      </w:r>
      <w:r>
        <w:rPr>
          <w:rFonts w:ascii="Times New Roman" w:hAnsi="Times New Roman" w:cs="Times New Roman"/>
          <w:sz w:val="24"/>
          <w:szCs w:val="24"/>
        </w:rPr>
        <w:t>, preservando territórios indígenas</w:t>
      </w:r>
      <w:r w:rsidR="001A09F7" w:rsidRPr="00A90FD1">
        <w:rPr>
          <w:rFonts w:ascii="Times New Roman" w:hAnsi="Times New Roman" w:cs="Times New Roman"/>
          <w:sz w:val="24"/>
          <w:szCs w:val="24"/>
        </w:rPr>
        <w:t>. A continuidade dos estudos levaria a opção por uma usina a fio d’água.</w:t>
      </w:r>
    </w:p>
    <w:p w:rsidR="00E11B5E" w:rsidRPr="009337F0" w:rsidRDefault="00E11B5E" w:rsidP="00D93155">
      <w:pPr>
        <w:spacing w:line="360" w:lineRule="auto"/>
        <w:ind w:firstLine="567"/>
        <w:jc w:val="both"/>
        <w:rPr>
          <w:rFonts w:ascii="Times New Roman" w:hAnsi="Times New Roman" w:cs="Times New Roman"/>
          <w:color w:val="auto"/>
          <w:sz w:val="24"/>
          <w:szCs w:val="24"/>
        </w:rPr>
      </w:pPr>
      <w:r w:rsidRPr="009337F0">
        <w:rPr>
          <w:rFonts w:ascii="Times New Roman" w:hAnsi="Times New Roman" w:cs="Times New Roman"/>
          <w:color w:val="auto"/>
          <w:sz w:val="24"/>
          <w:szCs w:val="24"/>
        </w:rPr>
        <w:t>No Sul o aproveitamento do potencial hidráuico do Riu Uruguai recebeu, e</w:t>
      </w:r>
      <w:r w:rsidR="001A09F7" w:rsidRPr="009337F0">
        <w:rPr>
          <w:rFonts w:ascii="Times New Roman" w:hAnsi="Times New Roman" w:cs="Times New Roman"/>
          <w:color w:val="auto"/>
          <w:sz w:val="24"/>
          <w:szCs w:val="24"/>
        </w:rPr>
        <w:t xml:space="preserve">m 2000, </w:t>
      </w:r>
      <w:r w:rsidRPr="009337F0">
        <w:rPr>
          <w:rFonts w:ascii="Times New Roman" w:hAnsi="Times New Roman" w:cs="Times New Roman"/>
          <w:color w:val="auto"/>
          <w:sz w:val="24"/>
          <w:szCs w:val="24"/>
        </w:rPr>
        <w:t>a</w:t>
      </w:r>
      <w:r w:rsidR="001A09F7" w:rsidRPr="009337F0">
        <w:rPr>
          <w:rFonts w:ascii="Times New Roman" w:hAnsi="Times New Roman" w:cs="Times New Roman"/>
          <w:color w:val="auto"/>
          <w:sz w:val="24"/>
          <w:szCs w:val="24"/>
        </w:rPr>
        <w:t xml:space="preserve"> operação </w:t>
      </w:r>
      <w:r w:rsidRPr="009337F0">
        <w:rPr>
          <w:rFonts w:ascii="Times New Roman" w:hAnsi="Times New Roman" w:cs="Times New Roman"/>
          <w:color w:val="auto"/>
          <w:sz w:val="24"/>
          <w:szCs w:val="24"/>
        </w:rPr>
        <w:t>d</w:t>
      </w:r>
      <w:r w:rsidR="001A09F7" w:rsidRPr="009337F0">
        <w:rPr>
          <w:rFonts w:ascii="Times New Roman" w:hAnsi="Times New Roman" w:cs="Times New Roman"/>
          <w:color w:val="auto"/>
          <w:sz w:val="24"/>
          <w:szCs w:val="24"/>
        </w:rPr>
        <w:t>a Usina Itá, entre Santa Catarina e Rio Grande do Sul. As obras foram iniciadas ainda com a Eletrosul, em 1994, mas foram concluídas pela Gerasul em parceria com um consórcio formado por Odebrecht, CSN e Cimento Itambé. Mas antes da conclusão das obras a Gerasul (já privatizada, desde 1997) adquiriu a parte correspondente à participação da Odebrecht, controlando 69% da usina e da energia gerada. Em 2001, Itá alcançou a potência instalada de 1,45 GW.</w:t>
      </w:r>
      <w:r w:rsidRPr="009337F0">
        <w:rPr>
          <w:rFonts w:ascii="Times New Roman" w:hAnsi="Times New Roman" w:cs="Times New Roman"/>
          <w:color w:val="auto"/>
          <w:sz w:val="24"/>
          <w:szCs w:val="24"/>
        </w:rPr>
        <w:t xml:space="preserve"> </w:t>
      </w:r>
      <w:r w:rsidR="001A09F7" w:rsidRPr="009337F0">
        <w:rPr>
          <w:rFonts w:ascii="Times New Roman" w:hAnsi="Times New Roman" w:cs="Times New Roman"/>
          <w:color w:val="auto"/>
          <w:sz w:val="24"/>
          <w:szCs w:val="24"/>
        </w:rPr>
        <w:t>Em 2002, também entrava em operação</w:t>
      </w:r>
      <w:r w:rsidRPr="009337F0">
        <w:rPr>
          <w:rFonts w:ascii="Times New Roman" w:hAnsi="Times New Roman" w:cs="Times New Roman"/>
          <w:color w:val="auto"/>
          <w:sz w:val="24"/>
          <w:szCs w:val="24"/>
        </w:rPr>
        <w:t xml:space="preserve"> a Usina Hidrelétrica Machadinho</w:t>
      </w:r>
      <w:r w:rsidR="001A09F7" w:rsidRPr="009337F0">
        <w:rPr>
          <w:rFonts w:ascii="Times New Roman" w:hAnsi="Times New Roman" w:cs="Times New Roman"/>
          <w:color w:val="auto"/>
          <w:sz w:val="24"/>
          <w:szCs w:val="24"/>
        </w:rPr>
        <w:t>, também na fronteira entre os dois estados mais meridionais</w:t>
      </w:r>
      <w:r w:rsidRPr="009337F0">
        <w:rPr>
          <w:rFonts w:ascii="Times New Roman" w:hAnsi="Times New Roman" w:cs="Times New Roman"/>
          <w:color w:val="auto"/>
          <w:sz w:val="24"/>
          <w:szCs w:val="24"/>
        </w:rPr>
        <w:t xml:space="preserve"> do país</w:t>
      </w:r>
      <w:r w:rsidR="001A09F7" w:rsidRPr="009337F0">
        <w:rPr>
          <w:rFonts w:ascii="Times New Roman" w:hAnsi="Times New Roman" w:cs="Times New Roman"/>
          <w:color w:val="auto"/>
          <w:sz w:val="24"/>
          <w:szCs w:val="24"/>
        </w:rPr>
        <w:t xml:space="preserve">, no rio Pelotas, </w:t>
      </w:r>
      <w:r w:rsidRPr="009337F0">
        <w:rPr>
          <w:rFonts w:ascii="Times New Roman" w:hAnsi="Times New Roman" w:cs="Times New Roman"/>
          <w:color w:val="auto"/>
          <w:sz w:val="24"/>
          <w:szCs w:val="24"/>
        </w:rPr>
        <w:t xml:space="preserve">um </w:t>
      </w:r>
      <w:r w:rsidR="001A09F7" w:rsidRPr="009337F0">
        <w:rPr>
          <w:rFonts w:ascii="Times New Roman" w:hAnsi="Times New Roman" w:cs="Times New Roman"/>
          <w:color w:val="auto"/>
          <w:sz w:val="24"/>
          <w:szCs w:val="24"/>
        </w:rPr>
        <w:t>afluente do rio Uruguai. Machadinho, que também teve a antiga Tractebel encabeçando o consórcio de construção, tem potência instalada de 1,14 GW, sendo administrada por um consórcio que incluía a</w:t>
      </w:r>
      <w:r w:rsidR="00D93155" w:rsidRPr="009337F0">
        <w:rPr>
          <w:rFonts w:ascii="Times New Roman" w:hAnsi="Times New Roman" w:cs="Times New Roman"/>
          <w:color w:val="auto"/>
          <w:sz w:val="24"/>
          <w:szCs w:val="24"/>
        </w:rPr>
        <w:t>s concessionárias estaduais CEEE e</w:t>
      </w:r>
      <w:r w:rsidR="001A09F7" w:rsidRPr="009337F0">
        <w:rPr>
          <w:rFonts w:ascii="Times New Roman" w:hAnsi="Times New Roman" w:cs="Times New Roman"/>
          <w:color w:val="auto"/>
          <w:sz w:val="24"/>
          <w:szCs w:val="24"/>
        </w:rPr>
        <w:t xml:space="preserve"> Celesc, além de indústrias energointensivas, como a Alcoa Alumínio Companhia Brasileira de Alumínio - CBA e Camargo e Corrêa Cimentos.</w:t>
      </w:r>
      <w:r w:rsidR="00D93155" w:rsidRPr="009337F0">
        <w:rPr>
          <w:rFonts w:ascii="Times New Roman" w:hAnsi="Times New Roman" w:cs="Times New Roman"/>
          <w:color w:val="auto"/>
          <w:sz w:val="24"/>
          <w:szCs w:val="24"/>
        </w:rPr>
        <w:t xml:space="preserve"> </w:t>
      </w:r>
      <w:r w:rsidRPr="009337F0">
        <w:rPr>
          <w:rFonts w:ascii="Times New Roman" w:hAnsi="Times New Roman" w:cs="Times New Roman"/>
          <w:color w:val="auto"/>
          <w:sz w:val="24"/>
          <w:szCs w:val="24"/>
        </w:rPr>
        <w:t>A Bacia do Rio Uruguai receberia ainda outras usinas de grande potencia instalada como</w:t>
      </w:r>
      <w:r w:rsidR="00D7101E" w:rsidRPr="009337F0">
        <w:rPr>
          <w:rFonts w:ascii="Times New Roman" w:hAnsi="Times New Roman" w:cs="Times New Roman"/>
          <w:color w:val="auto"/>
          <w:sz w:val="24"/>
          <w:szCs w:val="24"/>
        </w:rPr>
        <w:t xml:space="preserve"> a</w:t>
      </w:r>
      <w:r w:rsidR="001A09F7" w:rsidRPr="009337F0">
        <w:rPr>
          <w:rFonts w:ascii="Times New Roman" w:hAnsi="Times New Roman" w:cs="Times New Roman"/>
          <w:color w:val="auto"/>
          <w:sz w:val="24"/>
          <w:szCs w:val="24"/>
        </w:rPr>
        <w:t xml:space="preserve"> Hidrelétrica Quebra Queixo,</w:t>
      </w:r>
      <w:r w:rsidR="00D7101E" w:rsidRPr="009337F0">
        <w:rPr>
          <w:rFonts w:ascii="Times New Roman" w:hAnsi="Times New Roman" w:cs="Times New Roman"/>
          <w:color w:val="auto"/>
          <w:sz w:val="24"/>
          <w:szCs w:val="24"/>
        </w:rPr>
        <w:t xml:space="preserve"> com</w:t>
      </w:r>
      <w:r w:rsidR="001A09F7" w:rsidRPr="009337F0">
        <w:rPr>
          <w:rFonts w:ascii="Times New Roman" w:hAnsi="Times New Roman" w:cs="Times New Roman"/>
          <w:color w:val="auto"/>
          <w:sz w:val="24"/>
          <w:szCs w:val="24"/>
        </w:rPr>
        <w:t xml:space="preserve"> 120 MW de potência</w:t>
      </w:r>
      <w:r w:rsidR="00D93155" w:rsidRPr="009337F0">
        <w:rPr>
          <w:rFonts w:ascii="Times New Roman" w:hAnsi="Times New Roman" w:cs="Times New Roman"/>
          <w:color w:val="auto"/>
          <w:sz w:val="24"/>
          <w:szCs w:val="24"/>
        </w:rPr>
        <w:t>,</w:t>
      </w:r>
      <w:r w:rsidR="00D7101E" w:rsidRPr="009337F0">
        <w:rPr>
          <w:rFonts w:ascii="Times New Roman" w:hAnsi="Times New Roman" w:cs="Times New Roman"/>
          <w:color w:val="auto"/>
          <w:sz w:val="24"/>
          <w:szCs w:val="24"/>
        </w:rPr>
        <w:t xml:space="preserve"> e</w:t>
      </w:r>
      <w:r w:rsidRPr="009337F0">
        <w:rPr>
          <w:rFonts w:ascii="Times New Roman" w:hAnsi="Times New Roman" w:cs="Times New Roman"/>
          <w:color w:val="auto"/>
          <w:sz w:val="24"/>
          <w:szCs w:val="24"/>
        </w:rPr>
        <w:t xml:space="preserve"> a Usina Hidrelétrica Campos Novos, no rio Canoas, com uma grande barragem de enrocamento, concluída</w:t>
      </w:r>
      <w:r w:rsidR="00D7101E" w:rsidRPr="009337F0">
        <w:rPr>
          <w:rFonts w:ascii="Times New Roman" w:hAnsi="Times New Roman" w:cs="Times New Roman"/>
          <w:color w:val="auto"/>
          <w:sz w:val="24"/>
          <w:szCs w:val="24"/>
        </w:rPr>
        <w:t xml:space="preserve"> em 2006</w:t>
      </w:r>
      <w:r w:rsidRPr="009337F0">
        <w:rPr>
          <w:rFonts w:ascii="Times New Roman" w:hAnsi="Times New Roman" w:cs="Times New Roman"/>
          <w:color w:val="auto"/>
          <w:sz w:val="24"/>
          <w:szCs w:val="24"/>
        </w:rPr>
        <w:t>, tendo potência de 810.</w:t>
      </w:r>
    </w:p>
    <w:p w:rsidR="001A09F7" w:rsidRPr="00A90FD1" w:rsidRDefault="001A09F7" w:rsidP="00A90FD1">
      <w:pPr>
        <w:spacing w:line="360" w:lineRule="auto"/>
        <w:jc w:val="both"/>
        <w:rPr>
          <w:rFonts w:ascii="Times New Roman" w:hAnsi="Times New Roman" w:cs="Times New Roman"/>
          <w:color w:val="FF0000"/>
          <w:sz w:val="24"/>
          <w:szCs w:val="24"/>
        </w:rPr>
      </w:pPr>
    </w:p>
    <w:p w:rsidR="001A09F7" w:rsidRPr="00A90FD1" w:rsidRDefault="001A09F7" w:rsidP="00A90FD1">
      <w:pPr>
        <w:spacing w:line="360" w:lineRule="auto"/>
        <w:jc w:val="both"/>
        <w:rPr>
          <w:rFonts w:ascii="Times New Roman" w:hAnsi="Times New Roman" w:cs="Times New Roman"/>
          <w:sz w:val="24"/>
          <w:szCs w:val="24"/>
        </w:rPr>
      </w:pPr>
    </w:p>
    <w:p w:rsidR="001A09F7" w:rsidRPr="00A90FD1" w:rsidRDefault="001A09F7" w:rsidP="00D93155">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No final do Governo FHC, </w:t>
      </w:r>
      <w:r w:rsidR="00D7101E">
        <w:rPr>
          <w:rFonts w:ascii="Times New Roman" w:hAnsi="Times New Roman" w:cs="Times New Roman"/>
          <w:sz w:val="24"/>
          <w:szCs w:val="24"/>
        </w:rPr>
        <w:t>haviam sido</w:t>
      </w:r>
      <w:r w:rsidRPr="00A90FD1">
        <w:rPr>
          <w:rFonts w:ascii="Times New Roman" w:hAnsi="Times New Roman" w:cs="Times New Roman"/>
          <w:sz w:val="24"/>
          <w:szCs w:val="24"/>
        </w:rPr>
        <w:t xml:space="preserve"> postas em operação dua</w:t>
      </w:r>
      <w:r w:rsidR="00D93155">
        <w:rPr>
          <w:rFonts w:ascii="Times New Roman" w:hAnsi="Times New Roman" w:cs="Times New Roman"/>
          <w:sz w:val="24"/>
          <w:szCs w:val="24"/>
        </w:rPr>
        <w:t>s usinas térmicas emergenciais,</w:t>
      </w:r>
      <w:r w:rsidR="00D93155" w:rsidRPr="00A90FD1">
        <w:rPr>
          <w:rFonts w:ascii="Times New Roman" w:hAnsi="Times New Roman" w:cs="Times New Roman"/>
          <w:sz w:val="24"/>
          <w:szCs w:val="24"/>
        </w:rPr>
        <w:t xml:space="preserve"> instaladas no Rio de Janeiro</w:t>
      </w:r>
      <w:r w:rsidR="00D93155">
        <w:rPr>
          <w:rFonts w:ascii="Times New Roman" w:hAnsi="Times New Roman" w:cs="Times New Roman"/>
          <w:sz w:val="24"/>
          <w:szCs w:val="24"/>
        </w:rPr>
        <w:t>,</w:t>
      </w:r>
      <w:r w:rsidR="00D93155" w:rsidRPr="00A90FD1">
        <w:rPr>
          <w:rFonts w:ascii="Times New Roman" w:hAnsi="Times New Roman" w:cs="Times New Roman"/>
          <w:sz w:val="24"/>
          <w:szCs w:val="24"/>
        </w:rPr>
        <w:t xml:space="preserve"> </w:t>
      </w:r>
      <w:r w:rsidRPr="00A90FD1">
        <w:rPr>
          <w:rFonts w:ascii="Times New Roman" w:hAnsi="Times New Roman" w:cs="Times New Roman"/>
          <w:sz w:val="24"/>
          <w:szCs w:val="24"/>
        </w:rPr>
        <w:t>a Eletrobolt, de 380 MW, e a Macaé Merchant (posteriormente denominada Mario Lago</w:t>
      </w:r>
      <w:r w:rsidR="00D93155">
        <w:rPr>
          <w:rFonts w:ascii="Times New Roman" w:hAnsi="Times New Roman" w:cs="Times New Roman"/>
          <w:sz w:val="24"/>
          <w:szCs w:val="24"/>
        </w:rPr>
        <w:t>)</w:t>
      </w:r>
      <w:r w:rsidRPr="00A90FD1">
        <w:rPr>
          <w:rFonts w:ascii="Times New Roman" w:hAnsi="Times New Roman" w:cs="Times New Roman"/>
          <w:sz w:val="24"/>
          <w:szCs w:val="24"/>
        </w:rPr>
        <w:t>, com 928 MW, ambas com capital estadunidense. As duas tinham sido pautadas no Programa Prioritário de Termelétricas - PPT. A Petrobrás adquiriu as duas termelétricas, em 2005 e 2006.</w:t>
      </w:r>
    </w:p>
    <w:p w:rsidR="001A09F7" w:rsidRDefault="001A09F7" w:rsidP="00D93155">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Ainda com margem para ampliação, novamente, Itaipu instalou suas duas últimas unidade geradoras, o que deu a usina uma capacidade total de 14 GW, em 2007. Em 2008, obras na Usina Tucuruí foram concluídas. </w:t>
      </w:r>
      <w:r w:rsidR="00D93155">
        <w:rPr>
          <w:rFonts w:ascii="Times New Roman" w:hAnsi="Times New Roman" w:cs="Times New Roman"/>
          <w:sz w:val="24"/>
          <w:szCs w:val="24"/>
        </w:rPr>
        <w:t>Essa</w:t>
      </w:r>
      <w:r w:rsidRPr="00A90FD1">
        <w:rPr>
          <w:rFonts w:ascii="Times New Roman" w:hAnsi="Times New Roman" w:cs="Times New Roman"/>
          <w:sz w:val="24"/>
          <w:szCs w:val="24"/>
        </w:rPr>
        <w:t xml:space="preserve"> usina totalizava 8,37 GW de potência. Com isso foram construídas novas linhas de transmissão, em 500 kV, para reforçar a interligação Norte-Nordeste.</w:t>
      </w:r>
    </w:p>
    <w:p w:rsidR="00D7101E" w:rsidRDefault="00D7101E" w:rsidP="00A90FD1">
      <w:pPr>
        <w:spacing w:line="360" w:lineRule="auto"/>
        <w:jc w:val="both"/>
        <w:rPr>
          <w:rFonts w:ascii="Times New Roman" w:hAnsi="Times New Roman" w:cs="Times New Roman"/>
          <w:sz w:val="24"/>
          <w:szCs w:val="24"/>
        </w:rPr>
      </w:pPr>
      <w:r>
        <w:rPr>
          <w:rFonts w:ascii="Times New Roman" w:hAnsi="Times New Roman" w:cs="Times New Roman"/>
          <w:sz w:val="24"/>
          <w:szCs w:val="24"/>
        </w:rPr>
        <w:t>Em síntese, colacionamos abaixo a relação das principais usinas hidrelétrica que entraram em operação no recorte temporal deste artigo:</w:t>
      </w:r>
    </w:p>
    <w:p w:rsidR="00D7101E" w:rsidRDefault="00D7101E" w:rsidP="00A90FD1">
      <w:pPr>
        <w:spacing w:line="360" w:lineRule="auto"/>
        <w:jc w:val="both"/>
        <w:rPr>
          <w:rFonts w:ascii="Times New Roman" w:hAnsi="Times New Roman" w:cs="Times New Roman"/>
          <w:sz w:val="24"/>
          <w:szCs w:val="24"/>
        </w:rPr>
      </w:pPr>
    </w:p>
    <w:p w:rsidR="00D7101E" w:rsidRPr="00240131" w:rsidRDefault="00D7101E" w:rsidP="00D7101E">
      <w:pPr>
        <w:pStyle w:val="Legenda"/>
        <w:rPr>
          <w:rFonts w:ascii="Times New Roman" w:hAnsi="Times New Roman" w:cs="Times New Roman"/>
          <w:sz w:val="24"/>
          <w:szCs w:val="24"/>
        </w:rPr>
      </w:pPr>
      <w:r w:rsidRPr="00240131">
        <w:rPr>
          <w:rFonts w:ascii="Times New Roman" w:hAnsi="Times New Roman" w:cs="Times New Roman"/>
          <w:sz w:val="24"/>
          <w:szCs w:val="24"/>
        </w:rPr>
        <w:t xml:space="preserve">Quadro </w:t>
      </w:r>
      <w:r w:rsidR="00400632" w:rsidRPr="00240131">
        <w:rPr>
          <w:rFonts w:ascii="Times New Roman" w:hAnsi="Times New Roman" w:cs="Times New Roman"/>
          <w:sz w:val="24"/>
          <w:szCs w:val="24"/>
        </w:rPr>
        <w:fldChar w:fldCharType="begin"/>
      </w:r>
      <w:r w:rsidRPr="00240131">
        <w:rPr>
          <w:rFonts w:ascii="Times New Roman" w:hAnsi="Times New Roman" w:cs="Times New Roman"/>
          <w:sz w:val="24"/>
          <w:szCs w:val="24"/>
        </w:rPr>
        <w:instrText xml:space="preserve"> SEQ Quadro \* ARABIC </w:instrText>
      </w:r>
      <w:r w:rsidR="00400632" w:rsidRPr="00240131">
        <w:rPr>
          <w:rFonts w:ascii="Times New Roman" w:hAnsi="Times New Roman" w:cs="Times New Roman"/>
          <w:sz w:val="24"/>
          <w:szCs w:val="24"/>
        </w:rPr>
        <w:fldChar w:fldCharType="separate"/>
      </w:r>
      <w:r>
        <w:rPr>
          <w:rFonts w:ascii="Times New Roman" w:hAnsi="Times New Roman" w:cs="Times New Roman"/>
          <w:noProof/>
          <w:sz w:val="24"/>
          <w:szCs w:val="24"/>
        </w:rPr>
        <w:t>2</w:t>
      </w:r>
      <w:r w:rsidR="00400632" w:rsidRPr="00240131">
        <w:rPr>
          <w:rFonts w:ascii="Times New Roman" w:hAnsi="Times New Roman" w:cs="Times New Roman"/>
          <w:sz w:val="24"/>
          <w:szCs w:val="24"/>
        </w:rPr>
        <w:fldChar w:fldCharType="end"/>
      </w:r>
      <w:r w:rsidRPr="00240131">
        <w:rPr>
          <w:rFonts w:ascii="Times New Roman" w:hAnsi="Times New Roman" w:cs="Times New Roman"/>
          <w:sz w:val="24"/>
          <w:szCs w:val="24"/>
        </w:rPr>
        <w:t>: Maiores usinas hidrelétricas que entraram em operação entre 1980 e 2020</w:t>
      </w:r>
    </w:p>
    <w:tbl>
      <w:tblPr>
        <w:tblStyle w:val="Listadecontinuao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4"/>
        <w:gridCol w:w="1524"/>
        <w:gridCol w:w="1526"/>
        <w:gridCol w:w="1526"/>
        <w:gridCol w:w="1524"/>
      </w:tblGrid>
      <w:tr w:rsidR="00D7101E" w:rsidRPr="00606CE8" w:rsidTr="00CB65BF">
        <w:trPr>
          <w:trHeight w:val="300"/>
        </w:trPr>
        <w:tc>
          <w:tcPr>
            <w:tcW w:w="1418" w:type="pct"/>
            <w:noWrap/>
            <w:hideMark/>
          </w:tcPr>
          <w:p w:rsidR="00D7101E" w:rsidRPr="00606CE8" w:rsidRDefault="00D7101E" w:rsidP="0021385A">
            <w:pPr>
              <w:spacing w:line="240" w:lineRule="auto"/>
              <w:ind w:firstLine="0"/>
              <w:jc w:val="center"/>
              <w:rPr>
                <w:rFonts w:ascii="Times New Roman" w:eastAsia="Times New Roman" w:hAnsi="Times New Roman" w:cs="Times New Roman"/>
                <w:b/>
              </w:rPr>
            </w:pPr>
            <w:r w:rsidRPr="00606CE8">
              <w:rPr>
                <w:rFonts w:ascii="Times New Roman" w:eastAsia="Times New Roman" w:hAnsi="Times New Roman" w:cs="Times New Roman"/>
                <w:b/>
              </w:rPr>
              <w:t>Usina hidrelétrica</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b/>
              </w:rPr>
            </w:pPr>
            <w:r w:rsidRPr="00606CE8">
              <w:rPr>
                <w:rFonts w:ascii="Times New Roman" w:eastAsia="Times New Roman" w:hAnsi="Times New Roman" w:cs="Times New Roman"/>
                <w:b/>
              </w:rPr>
              <w:t>Rio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b/>
              </w:rPr>
            </w:pPr>
            <w:r w:rsidRPr="00606CE8">
              <w:rPr>
                <w:rFonts w:ascii="Times New Roman" w:eastAsia="Times New Roman" w:hAnsi="Times New Roman" w:cs="Times New Roman"/>
                <w:b/>
              </w:rPr>
              <w:t>Estado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b/>
              </w:rPr>
            </w:pPr>
            <w:r w:rsidRPr="00606CE8">
              <w:rPr>
                <w:rFonts w:ascii="Times New Roman" w:eastAsia="Times New Roman" w:hAnsi="Times New Roman" w:cs="Times New Roman"/>
                <w:b/>
              </w:rPr>
              <w:t>Potência instalada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b/>
              </w:rPr>
            </w:pPr>
            <w:r w:rsidRPr="00606CE8">
              <w:rPr>
                <w:rFonts w:ascii="Times New Roman" w:eastAsia="Times New Roman" w:hAnsi="Times New Roman" w:cs="Times New Roman"/>
                <w:b/>
              </w:rPr>
              <w:t>Início de operação</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Emborcação</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Paranaíba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MG/GO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1192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1982</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Sobradinho</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São Francisco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BA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1050,3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1982</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Itaipu</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Paraná</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PR</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14000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1984</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Tucuruí</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Tocantins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8535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1984</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Itaparica</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São Francisco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PE</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1479,6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1988</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Segredo</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Iguaçu</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PR</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1260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1992</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Taquaruçu</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Paranapanema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SP/PR</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525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1992</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Três Irmãos</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Tietê</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SP</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807,5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1993</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Xingó</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São Francisco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AL/SE</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3162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1994</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Nova Ponte</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Araguari</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MG</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510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1994</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Serra da Mesa</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Tocantins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GO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1275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1998</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Miranda</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Araguari</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MG</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408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1998</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Porto Primavera</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Paraná</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SP/MS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1540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1999</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Salto Caxias</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Iguaçu</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PR</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1240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1999</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Itá</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Uruguai</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RS/SC</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1450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2000</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Lajeado</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Tocantins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902,5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2001</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Machadinho</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Uruguai</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RS/SC</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1140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2002</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Cana Brava</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Tocantins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GO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450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2002</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Itapebi</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Jequitinhonha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BA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462,01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2003</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Barra Grande</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Pelotas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RS/SC</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690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2005</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Peixe Angical</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Tocantins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498,75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2006</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lastRenderedPageBreak/>
              <w:t>Campos Novos</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Canoas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SC</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880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2007</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Foz do Chapecó</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Uruguai</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SC/RS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855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2010</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Santo Antônio</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Madeira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RO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3568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2012</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Estreito</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Tocantins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TO/MA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1087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2012</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Jirau</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Madeira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RO</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3750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2013</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Teles Pires</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Teles Pires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MT/PA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1819,8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2015</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Belo Monte</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Xingú</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PA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11233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2016</w:t>
            </w:r>
          </w:p>
        </w:tc>
      </w:tr>
      <w:tr w:rsidR="00D7101E" w:rsidRPr="00606CE8" w:rsidTr="00CB65BF">
        <w:trPr>
          <w:trHeight w:val="300"/>
        </w:trPr>
        <w:tc>
          <w:tcPr>
            <w:tcW w:w="1418" w:type="pct"/>
            <w:noWrap/>
            <w:hideMark/>
          </w:tcPr>
          <w:p w:rsidR="00D7101E" w:rsidRPr="00606CE8" w:rsidRDefault="00D7101E" w:rsidP="0021385A">
            <w:pPr>
              <w:spacing w:line="240" w:lineRule="auto"/>
              <w:ind w:firstLine="0"/>
              <w:rPr>
                <w:rFonts w:ascii="Times New Roman" w:eastAsia="Times New Roman" w:hAnsi="Times New Roman" w:cs="Times New Roman"/>
              </w:rPr>
            </w:pPr>
            <w:r w:rsidRPr="00606CE8">
              <w:rPr>
                <w:rFonts w:ascii="Times New Roman" w:eastAsia="Times New Roman" w:hAnsi="Times New Roman" w:cs="Times New Roman"/>
              </w:rPr>
              <w:t>São Manoel</w:t>
            </w:r>
          </w:p>
        </w:tc>
        <w:tc>
          <w:tcPr>
            <w:tcW w:w="895"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Teles Pires</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MT/PA</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700 MW</w:t>
            </w:r>
          </w:p>
        </w:tc>
        <w:tc>
          <w:tcPr>
            <w:tcW w:w="896" w:type="pct"/>
            <w:noWrap/>
            <w:hideMark/>
          </w:tcPr>
          <w:p w:rsidR="00D7101E" w:rsidRPr="00606CE8" w:rsidRDefault="00D7101E" w:rsidP="00CB65BF">
            <w:pPr>
              <w:spacing w:line="240" w:lineRule="auto"/>
              <w:ind w:firstLine="0"/>
              <w:jc w:val="center"/>
              <w:rPr>
                <w:rFonts w:ascii="Times New Roman" w:eastAsia="Times New Roman" w:hAnsi="Times New Roman" w:cs="Times New Roman"/>
              </w:rPr>
            </w:pPr>
            <w:r w:rsidRPr="00606CE8">
              <w:rPr>
                <w:rFonts w:ascii="Times New Roman" w:eastAsia="Times New Roman" w:hAnsi="Times New Roman" w:cs="Times New Roman"/>
              </w:rPr>
              <w:t>2018</w:t>
            </w:r>
          </w:p>
        </w:tc>
      </w:tr>
    </w:tbl>
    <w:p w:rsidR="00D7101E" w:rsidRPr="00240131" w:rsidRDefault="00D7101E" w:rsidP="00D7101E">
      <w:pPr>
        <w:spacing w:line="240" w:lineRule="auto"/>
        <w:jc w:val="both"/>
        <w:rPr>
          <w:rFonts w:ascii="Times New Roman" w:hAnsi="Times New Roman" w:cs="Times New Roman"/>
          <w:sz w:val="20"/>
          <w:szCs w:val="20"/>
        </w:rPr>
      </w:pPr>
      <w:r w:rsidRPr="00240131">
        <w:rPr>
          <w:rFonts w:ascii="Times New Roman" w:hAnsi="Times New Roman" w:cs="Times New Roman"/>
          <w:sz w:val="20"/>
          <w:szCs w:val="20"/>
        </w:rPr>
        <w:t>Elaboração própria.</w:t>
      </w:r>
    </w:p>
    <w:p w:rsidR="00D7101E" w:rsidRPr="00240131" w:rsidRDefault="00D7101E" w:rsidP="00D7101E">
      <w:pPr>
        <w:spacing w:line="240" w:lineRule="auto"/>
        <w:jc w:val="both"/>
        <w:rPr>
          <w:rFonts w:ascii="Times New Roman" w:hAnsi="Times New Roman" w:cs="Times New Roman"/>
          <w:sz w:val="20"/>
          <w:szCs w:val="20"/>
        </w:rPr>
      </w:pPr>
      <w:r w:rsidRPr="00240131">
        <w:rPr>
          <w:rFonts w:ascii="Times New Roman" w:hAnsi="Times New Roman" w:cs="Times New Roman"/>
          <w:sz w:val="20"/>
          <w:szCs w:val="20"/>
        </w:rPr>
        <w:t>Fonte: ANEEL, 2022.</w:t>
      </w:r>
    </w:p>
    <w:p w:rsidR="00D7101E" w:rsidRPr="00A90FD1" w:rsidRDefault="00D7101E" w:rsidP="00A90F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A09F7" w:rsidRPr="00A90FD1" w:rsidRDefault="001A09F7" w:rsidP="00A90FD1">
      <w:pPr>
        <w:spacing w:line="360" w:lineRule="auto"/>
        <w:jc w:val="both"/>
        <w:rPr>
          <w:rFonts w:ascii="Times New Roman" w:hAnsi="Times New Roman" w:cs="Times New Roman"/>
          <w:sz w:val="24"/>
          <w:szCs w:val="24"/>
        </w:rPr>
      </w:pPr>
    </w:p>
    <w:p w:rsidR="001A09F7" w:rsidRPr="00A90FD1" w:rsidRDefault="00C11120" w:rsidP="00C30F50">
      <w:pPr>
        <w:pStyle w:val="Heading1"/>
        <w:numPr>
          <w:ilvl w:val="0"/>
          <w:numId w:val="22"/>
        </w:numPr>
        <w:spacing w:line="360" w:lineRule="auto"/>
        <w:ind w:hanging="720"/>
        <w:jc w:val="both"/>
        <w:rPr>
          <w:rFonts w:ascii="Times New Roman" w:hAnsi="Times New Roman" w:cs="Times New Roman"/>
          <w:sz w:val="24"/>
          <w:szCs w:val="24"/>
        </w:rPr>
      </w:pPr>
      <w:bookmarkStart w:id="4" w:name="_Toc30548815"/>
      <w:r>
        <w:rPr>
          <w:rFonts w:ascii="Times New Roman" w:hAnsi="Times New Roman" w:cs="Times New Roman"/>
          <w:sz w:val="24"/>
          <w:szCs w:val="24"/>
        </w:rPr>
        <w:t xml:space="preserve">A retomada do planejamento: </w:t>
      </w:r>
      <w:r w:rsidR="001A09F7" w:rsidRPr="00A90FD1">
        <w:rPr>
          <w:rFonts w:ascii="Times New Roman" w:hAnsi="Times New Roman" w:cs="Times New Roman"/>
          <w:sz w:val="24"/>
          <w:szCs w:val="24"/>
        </w:rPr>
        <w:t>O Programa de Aceleração do Crescimento – PAC</w:t>
      </w:r>
      <w:bookmarkEnd w:id="4"/>
    </w:p>
    <w:p w:rsidR="001A09F7" w:rsidRPr="00A90FD1" w:rsidRDefault="001A09F7" w:rsidP="00A90FD1">
      <w:pPr>
        <w:spacing w:line="360" w:lineRule="auto"/>
        <w:jc w:val="both"/>
        <w:rPr>
          <w:rFonts w:ascii="Times New Roman" w:hAnsi="Times New Roman" w:cs="Times New Roman"/>
          <w:sz w:val="24"/>
          <w:szCs w:val="24"/>
        </w:rPr>
      </w:pPr>
    </w:p>
    <w:p w:rsidR="001A09F7" w:rsidRPr="00A90FD1" w:rsidRDefault="001A09F7" w:rsidP="004D1535">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O Programa de Aceleração do Crescimento – PAC foi lançado em janeiro de 2007 pelo Governo </w:t>
      </w:r>
      <w:r w:rsidR="004D1535">
        <w:rPr>
          <w:rFonts w:ascii="Times New Roman" w:hAnsi="Times New Roman" w:cs="Times New Roman"/>
          <w:sz w:val="24"/>
          <w:szCs w:val="24"/>
        </w:rPr>
        <w:t>Lula</w:t>
      </w:r>
      <w:r w:rsidRPr="00A90FD1">
        <w:rPr>
          <w:rFonts w:ascii="Times New Roman" w:hAnsi="Times New Roman" w:cs="Times New Roman"/>
          <w:sz w:val="24"/>
          <w:szCs w:val="24"/>
        </w:rPr>
        <w:t>. O objetivo expresso era de promover o crescimento econômico por longo prazo. A situação econômica nacional apresentava estabilidade e sensível melhora em relação aos primeiros anos do século XXI. Além disso, um ciclo de crescimento mundial estava em curso.</w:t>
      </w:r>
    </w:p>
    <w:p w:rsidR="00BD5A7D" w:rsidRDefault="00F661D1" w:rsidP="004D15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É</w:t>
      </w:r>
      <w:r w:rsidR="00DC3E8D">
        <w:rPr>
          <w:rFonts w:ascii="Times New Roman" w:hAnsi="Times New Roman" w:cs="Times New Roman"/>
          <w:sz w:val="24"/>
          <w:szCs w:val="24"/>
        </w:rPr>
        <w:t xml:space="preserve"> possível afirmar que </w:t>
      </w:r>
      <w:r w:rsidR="001A09F7" w:rsidRPr="00A90FD1">
        <w:rPr>
          <w:rFonts w:ascii="Times New Roman" w:hAnsi="Times New Roman" w:cs="Times New Roman"/>
          <w:sz w:val="24"/>
          <w:szCs w:val="24"/>
        </w:rPr>
        <w:t>o Brasil</w:t>
      </w:r>
      <w:r w:rsidR="00DC3E8D">
        <w:rPr>
          <w:rFonts w:ascii="Times New Roman" w:hAnsi="Times New Roman" w:cs="Times New Roman"/>
          <w:sz w:val="24"/>
          <w:szCs w:val="24"/>
        </w:rPr>
        <w:t>, após décadas,</w:t>
      </w:r>
      <w:r w:rsidR="001A09F7" w:rsidRPr="00A90FD1">
        <w:rPr>
          <w:rFonts w:ascii="Times New Roman" w:hAnsi="Times New Roman" w:cs="Times New Roman"/>
          <w:sz w:val="24"/>
          <w:szCs w:val="24"/>
        </w:rPr>
        <w:t xml:space="preserve"> voltava a </w:t>
      </w:r>
      <w:r>
        <w:rPr>
          <w:rFonts w:ascii="Times New Roman" w:hAnsi="Times New Roman" w:cs="Times New Roman"/>
          <w:sz w:val="24"/>
          <w:szCs w:val="24"/>
        </w:rPr>
        <w:t>basear-se em</w:t>
      </w:r>
      <w:r w:rsidR="001A09F7" w:rsidRPr="00A90FD1">
        <w:rPr>
          <w:rFonts w:ascii="Times New Roman" w:hAnsi="Times New Roman" w:cs="Times New Roman"/>
          <w:sz w:val="24"/>
          <w:szCs w:val="24"/>
        </w:rPr>
        <w:t xml:space="preserve"> plano</w:t>
      </w:r>
      <w:r>
        <w:rPr>
          <w:rFonts w:ascii="Times New Roman" w:hAnsi="Times New Roman" w:cs="Times New Roman"/>
          <w:sz w:val="24"/>
          <w:szCs w:val="24"/>
        </w:rPr>
        <w:t>s</w:t>
      </w:r>
      <w:r w:rsidR="001A09F7" w:rsidRPr="00A90FD1">
        <w:rPr>
          <w:rFonts w:ascii="Times New Roman" w:hAnsi="Times New Roman" w:cs="Times New Roman"/>
          <w:sz w:val="24"/>
          <w:szCs w:val="24"/>
        </w:rPr>
        <w:t xml:space="preserve"> estratégico</w:t>
      </w:r>
      <w:r>
        <w:rPr>
          <w:rFonts w:ascii="Times New Roman" w:hAnsi="Times New Roman" w:cs="Times New Roman"/>
          <w:sz w:val="24"/>
          <w:szCs w:val="24"/>
        </w:rPr>
        <w:t>s</w:t>
      </w:r>
      <w:r w:rsidR="001A09F7" w:rsidRPr="00A90FD1">
        <w:rPr>
          <w:rFonts w:ascii="Times New Roman" w:hAnsi="Times New Roman" w:cs="Times New Roman"/>
          <w:sz w:val="24"/>
          <w:szCs w:val="24"/>
        </w:rPr>
        <w:t xml:space="preserve"> para desenvolvimento da infraestrutura e outros setores, para o crescimento da atividade econômica privada e para promoção do emprego e da renda. </w:t>
      </w:r>
      <w:r w:rsidR="00DC3E8D">
        <w:rPr>
          <w:rFonts w:ascii="Times New Roman" w:hAnsi="Times New Roman" w:cs="Times New Roman"/>
          <w:sz w:val="24"/>
          <w:szCs w:val="24"/>
        </w:rPr>
        <w:t xml:space="preserve">A condução da política econômica tomava contornos definidos pelo estilo do Partido dos Trabalhadores, apasiguando o conflito social, sem romper com as classes dominantes e “inserindo os pobres no orçamento”. Isso gerou uma série de debates de intelectuais brasileiros e estrangeiros sobre um retorno de uma modelo </w:t>
      </w:r>
      <w:r w:rsidR="00DC3E8D" w:rsidRPr="00DC3E8D">
        <w:rPr>
          <w:rFonts w:ascii="Times New Roman" w:hAnsi="Times New Roman" w:cs="Times New Roman"/>
          <w:i/>
          <w:sz w:val="24"/>
          <w:szCs w:val="24"/>
        </w:rPr>
        <w:t>desenvilvimentista</w:t>
      </w:r>
      <w:r w:rsidR="00DC3E8D">
        <w:rPr>
          <w:rFonts w:ascii="Times New Roman" w:hAnsi="Times New Roman" w:cs="Times New Roman"/>
          <w:sz w:val="24"/>
          <w:szCs w:val="24"/>
        </w:rPr>
        <w:t xml:space="preserve"> de condução da economia</w:t>
      </w:r>
      <w:r w:rsidR="00375291">
        <w:rPr>
          <w:rFonts w:ascii="Times New Roman" w:hAnsi="Times New Roman" w:cs="Times New Roman"/>
          <w:sz w:val="24"/>
          <w:szCs w:val="24"/>
        </w:rPr>
        <w:t>, que escapa de nosso foco neste texto, mas que</w:t>
      </w:r>
      <w:r>
        <w:rPr>
          <w:rFonts w:ascii="Times New Roman" w:hAnsi="Times New Roman" w:cs="Times New Roman"/>
          <w:sz w:val="24"/>
          <w:szCs w:val="24"/>
        </w:rPr>
        <w:t>, basta lembrar,</w:t>
      </w:r>
      <w:r w:rsidR="00375291">
        <w:rPr>
          <w:rFonts w:ascii="Times New Roman" w:hAnsi="Times New Roman" w:cs="Times New Roman"/>
          <w:sz w:val="24"/>
          <w:szCs w:val="24"/>
        </w:rPr>
        <w:t xml:space="preserve"> tem profunda relação com as decisões sobre os novos investimentos feitos no perído, inclusive no setor elétrico</w:t>
      </w:r>
      <w:r>
        <w:rPr>
          <w:rStyle w:val="Refdenotaderodap"/>
          <w:rFonts w:ascii="Times New Roman" w:hAnsi="Times New Roman" w:cs="Times New Roman"/>
          <w:sz w:val="24"/>
          <w:szCs w:val="24"/>
        </w:rPr>
        <w:footnoteReference w:id="5"/>
      </w:r>
      <w:r w:rsidR="00375291">
        <w:rPr>
          <w:rFonts w:ascii="Times New Roman" w:hAnsi="Times New Roman" w:cs="Times New Roman"/>
          <w:sz w:val="24"/>
          <w:szCs w:val="24"/>
        </w:rPr>
        <w:t>.</w:t>
      </w:r>
    </w:p>
    <w:p w:rsidR="001A09F7" w:rsidRPr="00A90FD1" w:rsidRDefault="001A09F7" w:rsidP="004D1535">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Os objetivos do programa estavam teoricamente distribuídos em: Infraestrutura Logística (rodovias, ferrovias, portos, hidrovias, aeroportos); Infraestrutura Energética (geração de energia elétrica, transmissão de energia elétrica, petróleo e gás natural, </w:t>
      </w:r>
      <w:r w:rsidRPr="00A90FD1">
        <w:rPr>
          <w:rFonts w:ascii="Times New Roman" w:hAnsi="Times New Roman" w:cs="Times New Roman"/>
          <w:sz w:val="24"/>
          <w:szCs w:val="24"/>
        </w:rPr>
        <w:lastRenderedPageBreak/>
        <w:t>refino, petroquímica e HBIO, revitalização da indústria naval, combustíveis renováveis) e; Infraestrutura Social e Urbana (Luz para Todos, metrôs, recursos hídricos, habitação, saneamento). Além disso</w:t>
      </w:r>
      <w:r w:rsidR="004D1535">
        <w:rPr>
          <w:rFonts w:ascii="Times New Roman" w:hAnsi="Times New Roman" w:cs="Times New Roman"/>
          <w:sz w:val="24"/>
          <w:szCs w:val="24"/>
        </w:rPr>
        <w:t>,</w:t>
      </w:r>
      <w:r w:rsidRPr="00A90FD1">
        <w:rPr>
          <w:rFonts w:ascii="Times New Roman" w:hAnsi="Times New Roman" w:cs="Times New Roman"/>
          <w:sz w:val="24"/>
          <w:szCs w:val="24"/>
        </w:rPr>
        <w:t xml:space="preserve"> havia uma série de medidas institucionais, de todo tipo, desde melhoria do ambiente de investimentos, medidas fiscais e tributárias, estímulo ao crédito, e melhorias de gestão. Havia desde o favorecimento e simplificação burocrática para micro e pequenas empresas (Lei 123/07), política de valorização do salário mínimo (Lei 12.255/10), até regulamentação de setores como gás ou saneamento, além de muitas outras medidas (BRASIL, 2010a).</w:t>
      </w:r>
    </w:p>
    <w:p w:rsidR="001A09F7" w:rsidRPr="00A90FD1" w:rsidRDefault="001A09F7" w:rsidP="00A90FD1">
      <w:pPr>
        <w:spacing w:line="360" w:lineRule="auto"/>
        <w:jc w:val="both"/>
        <w:rPr>
          <w:rFonts w:ascii="Times New Roman" w:hAnsi="Times New Roman" w:cs="Times New Roman"/>
          <w:sz w:val="24"/>
          <w:szCs w:val="24"/>
        </w:rPr>
      </w:pPr>
      <w:r w:rsidRPr="00A90FD1">
        <w:rPr>
          <w:rFonts w:ascii="Times New Roman" w:hAnsi="Times New Roman" w:cs="Times New Roman"/>
          <w:sz w:val="24"/>
          <w:szCs w:val="24"/>
        </w:rPr>
        <w:t>Entre janeiro de 2007 e dezembro de 2010, o total de investimentos executados pelo PAC ficou próximo à R$ 620 bilhões (94,1% da previsão para o período), dos quais R$ 444 bilhões foram, somente, de obras entregues no período (82% da meta), em todas as regiões do Brasil. Do gasto total o desembolso do Governo Federal foi algo em torno de 28%, ou R$ 175,9 bilhões. Foram 6,4 mil km de rodovias e 909 km de ferrovias concluídas, até 2010, 12 novos campos e 12 plataformas em operação para exploração de petróleo e gás, 3,8 km de gasodutos construídos e milhares de obras de habitação e saneamento concluídas e outras milhares estavam em andamento</w:t>
      </w:r>
      <w:r w:rsidR="004D1535">
        <w:rPr>
          <w:rFonts w:ascii="Times New Roman" w:hAnsi="Times New Roman" w:cs="Times New Roman"/>
          <w:sz w:val="24"/>
          <w:szCs w:val="24"/>
        </w:rPr>
        <w:t>. Como desdobramento foi</w:t>
      </w:r>
      <w:r w:rsidRPr="00A90FD1">
        <w:rPr>
          <w:rFonts w:ascii="Times New Roman" w:hAnsi="Times New Roman" w:cs="Times New Roman"/>
          <w:sz w:val="24"/>
          <w:szCs w:val="24"/>
        </w:rPr>
        <w:t xml:space="preserve"> fortalec</w:t>
      </w:r>
      <w:r w:rsidR="004D1535">
        <w:rPr>
          <w:rFonts w:ascii="Times New Roman" w:hAnsi="Times New Roman" w:cs="Times New Roman"/>
          <w:sz w:val="24"/>
          <w:szCs w:val="24"/>
        </w:rPr>
        <w:t>ida</w:t>
      </w:r>
      <w:r w:rsidRPr="00A90FD1">
        <w:rPr>
          <w:rFonts w:ascii="Times New Roman" w:hAnsi="Times New Roman" w:cs="Times New Roman"/>
          <w:sz w:val="24"/>
          <w:szCs w:val="24"/>
        </w:rPr>
        <w:t xml:space="preserve"> a engenharia e a indústria de construção civil nacional.</w:t>
      </w:r>
    </w:p>
    <w:p w:rsidR="001A09F7" w:rsidRPr="00A90FD1" w:rsidRDefault="001A09F7" w:rsidP="004D1535">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No setor elétrico foi investido R$ 33,7 bilhões em geração</w:t>
      </w:r>
      <w:r w:rsidR="004D1535">
        <w:rPr>
          <w:rFonts w:ascii="Times New Roman" w:hAnsi="Times New Roman" w:cs="Times New Roman"/>
          <w:sz w:val="24"/>
          <w:szCs w:val="24"/>
        </w:rPr>
        <w:t xml:space="preserve"> (R$ 26,4 bilhões</w:t>
      </w:r>
      <w:r w:rsidRPr="00A90FD1">
        <w:rPr>
          <w:rFonts w:ascii="Times New Roman" w:hAnsi="Times New Roman" w:cs="Times New Roman"/>
          <w:sz w:val="24"/>
          <w:szCs w:val="24"/>
        </w:rPr>
        <w:t xml:space="preserve"> para o incremento de 10,9 GW) e trans</w:t>
      </w:r>
      <w:r w:rsidR="004D1535">
        <w:rPr>
          <w:rFonts w:ascii="Times New Roman" w:hAnsi="Times New Roman" w:cs="Times New Roman"/>
          <w:sz w:val="24"/>
          <w:szCs w:val="24"/>
        </w:rPr>
        <w:t>missão de energia (R$ 7 bilhões</w:t>
      </w:r>
      <w:r w:rsidRPr="00A90FD1">
        <w:rPr>
          <w:rFonts w:ascii="Times New Roman" w:hAnsi="Times New Roman" w:cs="Times New Roman"/>
          <w:sz w:val="24"/>
          <w:szCs w:val="24"/>
        </w:rPr>
        <w:t xml:space="preserve"> em 9,1 mil km de LTs). Duas hidrelétricas gigantescas, entre as maiores do mundo, que tiveram a concessão leiloada em 2007 e 2008, estavam em construção, Santo Antônio e Jirau, no complexo hidrelétrico do rio Madeira em Rondônia.</w:t>
      </w:r>
      <w:r w:rsidR="004D1535">
        <w:rPr>
          <w:rFonts w:ascii="Times New Roman" w:hAnsi="Times New Roman" w:cs="Times New Roman"/>
          <w:sz w:val="24"/>
          <w:szCs w:val="24"/>
        </w:rPr>
        <w:t xml:space="preserve"> E</w:t>
      </w:r>
      <w:r w:rsidRPr="00A90FD1">
        <w:rPr>
          <w:rFonts w:ascii="Times New Roman" w:hAnsi="Times New Roman" w:cs="Times New Roman"/>
          <w:sz w:val="24"/>
          <w:szCs w:val="24"/>
        </w:rPr>
        <w:t>m 2008, foi realizado o primeiro Leilão Reserva, incluindo biomassa. No mesmo ano o Proinfa começa a dar resultados no parque eólico, com a instalação em Beberibe (CE), de 25,6 MW de potência. No ano seguinte, com o leilão para geração eólica, foram contratados 1,8 GW de potência total de dezenas de usinas.</w:t>
      </w:r>
      <w:r w:rsidR="004D1535">
        <w:rPr>
          <w:rFonts w:ascii="Times New Roman" w:hAnsi="Times New Roman" w:cs="Times New Roman"/>
          <w:sz w:val="24"/>
          <w:szCs w:val="24"/>
        </w:rPr>
        <w:t xml:space="preserve"> </w:t>
      </w:r>
      <w:r w:rsidRPr="00A90FD1">
        <w:rPr>
          <w:rFonts w:ascii="Times New Roman" w:hAnsi="Times New Roman" w:cs="Times New Roman"/>
          <w:sz w:val="24"/>
          <w:szCs w:val="24"/>
        </w:rPr>
        <w:t>Em 2008, foi criada mais uma subsidiária da Eletrobras, Amazonas Distribuidora de Energia, que incorporou a Ceam (estatal estadual), em uma fusão com a Manaus Energia SA (federal), para atender todo o estado do Amazonas.</w:t>
      </w:r>
      <w:r w:rsidR="004D1535">
        <w:rPr>
          <w:rFonts w:ascii="Times New Roman" w:hAnsi="Times New Roman" w:cs="Times New Roman"/>
          <w:sz w:val="24"/>
          <w:szCs w:val="24"/>
        </w:rPr>
        <w:t xml:space="preserve"> </w:t>
      </w:r>
      <w:r w:rsidRPr="00A90FD1">
        <w:rPr>
          <w:rFonts w:ascii="Times New Roman" w:hAnsi="Times New Roman" w:cs="Times New Roman"/>
          <w:sz w:val="24"/>
          <w:szCs w:val="24"/>
        </w:rPr>
        <w:t>O projeto de Belo Monte também avançava e, finalmente, em 2010, ocorreu o leilão</w:t>
      </w:r>
      <w:r w:rsidR="004D1535">
        <w:rPr>
          <w:rFonts w:ascii="Times New Roman" w:hAnsi="Times New Roman" w:cs="Times New Roman"/>
          <w:sz w:val="24"/>
          <w:szCs w:val="24"/>
        </w:rPr>
        <w:t xml:space="preserve"> para construção e operação da U</w:t>
      </w:r>
      <w:r w:rsidRPr="00A90FD1">
        <w:rPr>
          <w:rFonts w:ascii="Times New Roman" w:hAnsi="Times New Roman" w:cs="Times New Roman"/>
          <w:sz w:val="24"/>
          <w:szCs w:val="24"/>
        </w:rPr>
        <w:t>sina Belo Monte, arrematado por um consórcio que incluía a Chesf e mais oito construtoras.</w:t>
      </w:r>
    </w:p>
    <w:p w:rsidR="001A09F7" w:rsidRPr="00A90FD1" w:rsidRDefault="001A09F7" w:rsidP="004D1535">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Para o PAC 2 novas áreas de investimentos para velhos problemas da população eram miradas, como dos problemas urbanos das regiões metropolitanas do país. O Governo Dilma conseguiu que as metas de execução do programa fossem alcançadas </w:t>
      </w:r>
      <w:r w:rsidRPr="00A90FD1">
        <w:rPr>
          <w:rFonts w:ascii="Times New Roman" w:hAnsi="Times New Roman" w:cs="Times New Roman"/>
          <w:sz w:val="24"/>
          <w:szCs w:val="24"/>
        </w:rPr>
        <w:lastRenderedPageBreak/>
        <w:t>quase em sua totalidade (99,7% do previsto). O</w:t>
      </w:r>
      <w:r w:rsidR="004D1535">
        <w:rPr>
          <w:rFonts w:ascii="Times New Roman" w:hAnsi="Times New Roman" w:cs="Times New Roman"/>
          <w:sz w:val="24"/>
          <w:szCs w:val="24"/>
        </w:rPr>
        <w:t>s</w:t>
      </w:r>
      <w:r w:rsidRPr="00A90FD1">
        <w:rPr>
          <w:rFonts w:ascii="Times New Roman" w:hAnsi="Times New Roman" w:cs="Times New Roman"/>
          <w:sz w:val="24"/>
          <w:szCs w:val="24"/>
        </w:rPr>
        <w:t xml:space="preserve"> investimentos totais executados, entre 2011 e 2014, foram de  R$ 1,066 trilhão, e o desembolso do governo federal chegou a R$ 277,9 bilhões. Com isso a FBKF permaneceu acima de 18%. Mesmo com taxas menores de crescimento econômico do que no período anterior, a criação de postos de trabalho (líquida) foi de mais 5,7 milhões de novas vagas, levando o desemprego a mínimas históricas (de 4,3% em dezembro de 2014) (BRASIL, 2014)</w:t>
      </w:r>
      <w:r w:rsidR="004D1535">
        <w:rPr>
          <w:rFonts w:ascii="Times New Roman" w:hAnsi="Times New Roman" w:cs="Times New Roman"/>
          <w:sz w:val="24"/>
          <w:szCs w:val="24"/>
        </w:rPr>
        <w:t>.</w:t>
      </w:r>
    </w:p>
    <w:p w:rsidR="001A09F7" w:rsidRPr="0062317B" w:rsidRDefault="001A09F7" w:rsidP="004D1535">
      <w:pPr>
        <w:spacing w:line="360" w:lineRule="auto"/>
        <w:ind w:firstLine="567"/>
        <w:jc w:val="both"/>
        <w:rPr>
          <w:rFonts w:ascii="Times New Roman" w:hAnsi="Times New Roman" w:cs="Times New Roman"/>
          <w:color w:val="auto"/>
          <w:sz w:val="24"/>
          <w:szCs w:val="24"/>
        </w:rPr>
      </w:pPr>
      <w:r w:rsidRPr="0062317B">
        <w:rPr>
          <w:rFonts w:ascii="Times New Roman" w:hAnsi="Times New Roman" w:cs="Times New Roman"/>
          <w:color w:val="auto"/>
          <w:sz w:val="24"/>
          <w:szCs w:val="24"/>
        </w:rPr>
        <w:t>Outras tantas obras aumentavam a malha rodoviária (5,1 mil km) e ferroviária (1 mil km) e também modernizavam portos e aeroportos. O setor de petróleo e gás teve uma expansão sem precedentes. E a política habitacional também era destaque. Enfim, sem alongar, o PAC 2 ampliava a importância histórica dos governos petistas.</w:t>
      </w:r>
    </w:p>
    <w:p w:rsidR="001A09F7" w:rsidRPr="00A90FD1" w:rsidRDefault="001A09F7" w:rsidP="004D1535">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O setor elétrico teve acréscimo de  15,9 GW com o PAC 2. No período entraram em operação 3,6 GW de potência das primeiras unidades das usinas do complexo hidrelétrico do rio Madeira,</w:t>
      </w:r>
      <w:r w:rsidR="004D1535">
        <w:rPr>
          <w:rFonts w:ascii="Times New Roman" w:hAnsi="Times New Roman" w:cs="Times New Roman"/>
          <w:sz w:val="24"/>
          <w:szCs w:val="24"/>
        </w:rPr>
        <w:t xml:space="preserve"> </w:t>
      </w:r>
      <w:r w:rsidRPr="00A90FD1">
        <w:rPr>
          <w:rFonts w:ascii="Times New Roman" w:hAnsi="Times New Roman" w:cs="Times New Roman"/>
          <w:sz w:val="24"/>
          <w:szCs w:val="24"/>
        </w:rPr>
        <w:t>em 2012 e 2013. Santo Antônio, quando concluída teria capacidade total de 3,15 GW</w:t>
      </w:r>
      <w:r w:rsidR="004D1535">
        <w:rPr>
          <w:rFonts w:ascii="Times New Roman" w:hAnsi="Times New Roman" w:cs="Times New Roman"/>
          <w:sz w:val="24"/>
          <w:szCs w:val="24"/>
        </w:rPr>
        <w:t xml:space="preserve"> </w:t>
      </w:r>
      <w:r w:rsidRPr="00A90FD1">
        <w:rPr>
          <w:rFonts w:ascii="Times New Roman" w:hAnsi="Times New Roman" w:cs="Times New Roman"/>
          <w:sz w:val="24"/>
          <w:szCs w:val="24"/>
        </w:rPr>
        <w:t>e Jirau, a capacidade total de 3,75 GW.</w:t>
      </w:r>
    </w:p>
    <w:p w:rsidR="001A09F7" w:rsidRPr="00A90FD1" w:rsidRDefault="001A09F7" w:rsidP="00A90FD1">
      <w:pPr>
        <w:spacing w:line="360" w:lineRule="auto"/>
        <w:jc w:val="both"/>
        <w:rPr>
          <w:rFonts w:ascii="Times New Roman" w:hAnsi="Times New Roman" w:cs="Times New Roman"/>
          <w:sz w:val="24"/>
          <w:szCs w:val="24"/>
        </w:rPr>
      </w:pPr>
      <w:r w:rsidRPr="00A90FD1">
        <w:rPr>
          <w:rFonts w:ascii="Times New Roman" w:hAnsi="Times New Roman" w:cs="Times New Roman"/>
          <w:sz w:val="24"/>
          <w:szCs w:val="24"/>
        </w:rPr>
        <w:t>Quando encerrou o PAC 2, ainda estavam em obras</w:t>
      </w:r>
      <w:r w:rsidR="00011B90" w:rsidRPr="00011B90">
        <w:rPr>
          <w:rFonts w:ascii="Times New Roman" w:hAnsi="Times New Roman" w:cs="Times New Roman"/>
          <w:sz w:val="24"/>
          <w:szCs w:val="24"/>
        </w:rPr>
        <w:t xml:space="preserve"> </w:t>
      </w:r>
      <w:r w:rsidR="00011B90" w:rsidRPr="00A90FD1">
        <w:rPr>
          <w:rFonts w:ascii="Times New Roman" w:hAnsi="Times New Roman" w:cs="Times New Roman"/>
          <w:sz w:val="24"/>
          <w:szCs w:val="24"/>
        </w:rPr>
        <w:t>usinas que somariam outros 23,2 GW de potência ao parque gerador brasileiro (sendo que 21,8 GW entraram em operação até 2018)</w:t>
      </w:r>
      <w:r w:rsidRPr="00A90FD1">
        <w:rPr>
          <w:rFonts w:ascii="Times New Roman" w:hAnsi="Times New Roman" w:cs="Times New Roman"/>
          <w:sz w:val="24"/>
          <w:szCs w:val="24"/>
        </w:rPr>
        <w:t>, incluindo a Hidrelétrica de Belo Monte (que oper</w:t>
      </w:r>
      <w:r w:rsidR="00011B90">
        <w:rPr>
          <w:rFonts w:ascii="Times New Roman" w:hAnsi="Times New Roman" w:cs="Times New Roman"/>
          <w:sz w:val="24"/>
          <w:szCs w:val="24"/>
        </w:rPr>
        <w:t>ou apartir de 2015) e Angra III</w:t>
      </w:r>
      <w:r w:rsidRPr="00A90FD1">
        <w:rPr>
          <w:rFonts w:ascii="Times New Roman" w:hAnsi="Times New Roman" w:cs="Times New Roman"/>
          <w:sz w:val="24"/>
          <w:szCs w:val="24"/>
        </w:rPr>
        <w:t xml:space="preserve">. </w:t>
      </w:r>
    </w:p>
    <w:p w:rsidR="001A09F7" w:rsidRPr="00A90FD1" w:rsidRDefault="001A09F7" w:rsidP="00A90FD1">
      <w:pPr>
        <w:spacing w:line="360" w:lineRule="auto"/>
        <w:jc w:val="both"/>
        <w:rPr>
          <w:rFonts w:ascii="Times New Roman" w:hAnsi="Times New Roman" w:cs="Times New Roman"/>
          <w:sz w:val="24"/>
          <w:szCs w:val="24"/>
        </w:rPr>
      </w:pPr>
    </w:p>
    <w:p w:rsidR="001A09F7" w:rsidRPr="00A90FD1" w:rsidRDefault="006A758F" w:rsidP="00A90FD1">
      <w:pPr>
        <w:keepNext/>
        <w:spacing w:line="360" w:lineRule="auto"/>
        <w:jc w:val="both"/>
        <w:rPr>
          <w:rFonts w:ascii="Times New Roman" w:hAnsi="Times New Roman" w:cs="Times New Roman"/>
          <w:sz w:val="24"/>
          <w:szCs w:val="24"/>
        </w:rPr>
      </w:pPr>
      <w:r w:rsidRPr="006A758F">
        <w:rPr>
          <w:rFonts w:ascii="Times New Roman" w:hAnsi="Times New Roman" w:cs="Times New Roman"/>
          <w:noProof/>
          <w:sz w:val="24"/>
          <w:szCs w:val="24"/>
        </w:rPr>
        <w:lastRenderedPageBreak/>
        <w:drawing>
          <wp:inline distT="0" distB="0" distL="0" distR="0">
            <wp:extent cx="5400040" cy="3367235"/>
            <wp:effectExtent l="19050" t="0" r="10160" b="46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09F7" w:rsidRPr="00A90FD1" w:rsidRDefault="001A09F7" w:rsidP="00A90FD1">
      <w:pPr>
        <w:pStyle w:val="Legenda"/>
        <w:spacing w:line="360" w:lineRule="auto"/>
        <w:jc w:val="both"/>
        <w:rPr>
          <w:rFonts w:ascii="Times New Roman" w:hAnsi="Times New Roman" w:cs="Times New Roman"/>
          <w:sz w:val="24"/>
          <w:szCs w:val="24"/>
        </w:rPr>
      </w:pPr>
      <w:bookmarkStart w:id="5" w:name="_Ref20685154"/>
      <w:bookmarkStart w:id="6" w:name="_Toc20692498"/>
      <w:r w:rsidRPr="00A90FD1">
        <w:rPr>
          <w:rFonts w:ascii="Times New Roman" w:hAnsi="Times New Roman" w:cs="Times New Roman"/>
          <w:sz w:val="24"/>
          <w:szCs w:val="24"/>
        </w:rPr>
        <w:t xml:space="preserve">Gráfico </w:t>
      </w:r>
      <w:r w:rsidR="00400632" w:rsidRPr="00A90FD1">
        <w:rPr>
          <w:rFonts w:ascii="Times New Roman" w:hAnsi="Times New Roman" w:cs="Times New Roman"/>
          <w:sz w:val="24"/>
          <w:szCs w:val="24"/>
        </w:rPr>
        <w:fldChar w:fldCharType="begin"/>
      </w:r>
      <w:r w:rsidR="00401145" w:rsidRPr="00A90FD1">
        <w:rPr>
          <w:rFonts w:ascii="Times New Roman" w:hAnsi="Times New Roman" w:cs="Times New Roman"/>
          <w:sz w:val="24"/>
          <w:szCs w:val="24"/>
        </w:rPr>
        <w:instrText xml:space="preserve"> SEQ Gráfico \* ARABIC </w:instrText>
      </w:r>
      <w:r w:rsidR="00400632" w:rsidRPr="00A90FD1">
        <w:rPr>
          <w:rFonts w:ascii="Times New Roman" w:hAnsi="Times New Roman" w:cs="Times New Roman"/>
          <w:sz w:val="24"/>
          <w:szCs w:val="24"/>
        </w:rPr>
        <w:fldChar w:fldCharType="separate"/>
      </w:r>
      <w:r w:rsidR="006A758F">
        <w:rPr>
          <w:rFonts w:ascii="Times New Roman" w:hAnsi="Times New Roman" w:cs="Times New Roman"/>
          <w:noProof/>
          <w:sz w:val="24"/>
          <w:szCs w:val="24"/>
        </w:rPr>
        <w:t>1</w:t>
      </w:r>
      <w:r w:rsidR="00400632" w:rsidRPr="00A90FD1">
        <w:rPr>
          <w:rFonts w:ascii="Times New Roman" w:hAnsi="Times New Roman" w:cs="Times New Roman"/>
          <w:sz w:val="24"/>
          <w:szCs w:val="24"/>
        </w:rPr>
        <w:fldChar w:fldCharType="end"/>
      </w:r>
      <w:bookmarkEnd w:id="5"/>
      <w:r w:rsidRPr="00A90FD1">
        <w:rPr>
          <w:rFonts w:ascii="Times New Roman" w:hAnsi="Times New Roman" w:cs="Times New Roman"/>
          <w:sz w:val="24"/>
          <w:szCs w:val="24"/>
        </w:rPr>
        <w:t xml:space="preserve">: Incremento em MW na potência instalada das usinas elétricas brasileiras </w:t>
      </w:r>
      <w:bookmarkEnd w:id="6"/>
      <w:r w:rsidR="006A758F">
        <w:rPr>
          <w:rFonts w:ascii="Times New Roman" w:hAnsi="Times New Roman" w:cs="Times New Roman"/>
          <w:sz w:val="24"/>
          <w:szCs w:val="24"/>
        </w:rPr>
        <w:t>conforme planos selecionados</w:t>
      </w:r>
    </w:p>
    <w:p w:rsidR="001A09F7" w:rsidRPr="003935DC" w:rsidRDefault="001A09F7" w:rsidP="00A90FD1">
      <w:pPr>
        <w:spacing w:line="360" w:lineRule="auto"/>
        <w:jc w:val="both"/>
        <w:rPr>
          <w:rFonts w:ascii="Times New Roman" w:hAnsi="Times New Roman" w:cs="Times New Roman"/>
          <w:sz w:val="20"/>
          <w:szCs w:val="20"/>
        </w:rPr>
      </w:pPr>
      <w:r w:rsidRPr="003935DC">
        <w:rPr>
          <w:rFonts w:ascii="Times New Roman" w:hAnsi="Times New Roman" w:cs="Times New Roman"/>
          <w:sz w:val="20"/>
          <w:szCs w:val="20"/>
        </w:rPr>
        <w:t>Fonte: MME (2019); EPE (2019).</w:t>
      </w:r>
      <w:r w:rsidR="003935DC" w:rsidRPr="003935DC">
        <w:rPr>
          <w:rFonts w:ascii="Times New Roman" w:hAnsi="Times New Roman" w:cs="Times New Roman"/>
          <w:sz w:val="20"/>
          <w:szCs w:val="20"/>
        </w:rPr>
        <w:t xml:space="preserve"> Elaboração própria.</w:t>
      </w:r>
    </w:p>
    <w:p w:rsidR="001A09F7" w:rsidRPr="00A90FD1" w:rsidRDefault="001A09F7" w:rsidP="00A90FD1">
      <w:pPr>
        <w:spacing w:line="360" w:lineRule="auto"/>
        <w:jc w:val="both"/>
        <w:rPr>
          <w:rFonts w:ascii="Times New Roman" w:hAnsi="Times New Roman" w:cs="Times New Roman"/>
          <w:sz w:val="24"/>
          <w:szCs w:val="24"/>
        </w:rPr>
      </w:pPr>
    </w:p>
    <w:p w:rsidR="001A09F7" w:rsidRPr="00A90FD1" w:rsidRDefault="001A09F7" w:rsidP="00011B90">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Os números absolutos demonstram que o PAC, em suas três edições, é comparável aos históricos Plano de Metas e II PND. Em termos relativos, os resultados obtidos parecem não ser tão expressivos. Mas há que se considerar que o agigantamento dos números, após muitas décadas de desenvolvimento da economia, implicam, naturalmente, em um crescimento a taxas decrescentes. Por isso o PAC foi sim um grande plano, digno de entrar para história econômica do Brasil.</w:t>
      </w:r>
    </w:p>
    <w:p w:rsidR="001A09F7" w:rsidRPr="00A90FD1" w:rsidRDefault="006A758F" w:rsidP="00A90FD1">
      <w:pPr>
        <w:keepNext/>
        <w:spacing w:line="360" w:lineRule="auto"/>
        <w:jc w:val="both"/>
        <w:rPr>
          <w:rFonts w:ascii="Times New Roman" w:hAnsi="Times New Roman" w:cs="Times New Roman"/>
          <w:sz w:val="24"/>
          <w:szCs w:val="24"/>
        </w:rPr>
      </w:pPr>
      <w:r w:rsidRPr="006A758F">
        <w:rPr>
          <w:rFonts w:ascii="Times New Roman" w:hAnsi="Times New Roman" w:cs="Times New Roman"/>
          <w:noProof/>
          <w:sz w:val="24"/>
          <w:szCs w:val="24"/>
        </w:rPr>
        <w:lastRenderedPageBreak/>
        <w:drawing>
          <wp:inline distT="0" distB="0" distL="0" distR="0">
            <wp:extent cx="5400040" cy="3367235"/>
            <wp:effectExtent l="19050" t="0" r="10160" b="461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09F7" w:rsidRPr="00A90FD1" w:rsidRDefault="001A09F7" w:rsidP="00A90FD1">
      <w:pPr>
        <w:pStyle w:val="Legenda"/>
        <w:spacing w:line="360" w:lineRule="auto"/>
        <w:jc w:val="both"/>
        <w:rPr>
          <w:rFonts w:ascii="Times New Roman" w:hAnsi="Times New Roman" w:cs="Times New Roman"/>
          <w:sz w:val="24"/>
          <w:szCs w:val="24"/>
        </w:rPr>
      </w:pPr>
      <w:bookmarkStart w:id="7" w:name="_Toc20692499"/>
      <w:r w:rsidRPr="00A90FD1">
        <w:rPr>
          <w:rFonts w:ascii="Times New Roman" w:hAnsi="Times New Roman" w:cs="Times New Roman"/>
          <w:sz w:val="24"/>
          <w:szCs w:val="24"/>
        </w:rPr>
        <w:t xml:space="preserve">Gráfico </w:t>
      </w:r>
      <w:r w:rsidR="00400632" w:rsidRPr="00A90FD1">
        <w:rPr>
          <w:rFonts w:ascii="Times New Roman" w:hAnsi="Times New Roman" w:cs="Times New Roman"/>
          <w:sz w:val="24"/>
          <w:szCs w:val="24"/>
        </w:rPr>
        <w:fldChar w:fldCharType="begin"/>
      </w:r>
      <w:r w:rsidR="00401145" w:rsidRPr="00A90FD1">
        <w:rPr>
          <w:rFonts w:ascii="Times New Roman" w:hAnsi="Times New Roman" w:cs="Times New Roman"/>
          <w:sz w:val="24"/>
          <w:szCs w:val="24"/>
        </w:rPr>
        <w:instrText xml:space="preserve"> SEQ Gráfico \* ARABIC </w:instrText>
      </w:r>
      <w:r w:rsidR="00400632" w:rsidRPr="00A90FD1">
        <w:rPr>
          <w:rFonts w:ascii="Times New Roman" w:hAnsi="Times New Roman" w:cs="Times New Roman"/>
          <w:sz w:val="24"/>
          <w:szCs w:val="24"/>
        </w:rPr>
        <w:fldChar w:fldCharType="separate"/>
      </w:r>
      <w:r w:rsidR="006A758F">
        <w:rPr>
          <w:rFonts w:ascii="Times New Roman" w:hAnsi="Times New Roman" w:cs="Times New Roman"/>
          <w:noProof/>
          <w:sz w:val="24"/>
          <w:szCs w:val="24"/>
        </w:rPr>
        <w:t>2</w:t>
      </w:r>
      <w:r w:rsidR="00400632" w:rsidRPr="00A90FD1">
        <w:rPr>
          <w:rFonts w:ascii="Times New Roman" w:hAnsi="Times New Roman" w:cs="Times New Roman"/>
          <w:sz w:val="24"/>
          <w:szCs w:val="24"/>
        </w:rPr>
        <w:fldChar w:fldCharType="end"/>
      </w:r>
      <w:r w:rsidRPr="00A90FD1">
        <w:rPr>
          <w:rFonts w:ascii="Times New Roman" w:hAnsi="Times New Roman" w:cs="Times New Roman"/>
          <w:sz w:val="24"/>
          <w:szCs w:val="24"/>
        </w:rPr>
        <w:t xml:space="preserve">: Incremento percentual na potência instalada das usinas elétricas brasileiras </w:t>
      </w:r>
      <w:r w:rsidR="006A758F">
        <w:rPr>
          <w:rFonts w:ascii="Times New Roman" w:hAnsi="Times New Roman" w:cs="Times New Roman"/>
          <w:sz w:val="24"/>
          <w:szCs w:val="24"/>
        </w:rPr>
        <w:t>conforme planos</w:t>
      </w:r>
      <w:bookmarkEnd w:id="7"/>
      <w:r w:rsidR="006A758F">
        <w:rPr>
          <w:rFonts w:ascii="Times New Roman" w:hAnsi="Times New Roman" w:cs="Times New Roman"/>
          <w:sz w:val="24"/>
          <w:szCs w:val="24"/>
        </w:rPr>
        <w:t xml:space="preserve"> selecionados</w:t>
      </w:r>
    </w:p>
    <w:p w:rsidR="001A09F7" w:rsidRPr="003935DC" w:rsidRDefault="001A09F7" w:rsidP="00A90FD1">
      <w:pPr>
        <w:spacing w:line="360" w:lineRule="auto"/>
        <w:jc w:val="both"/>
        <w:rPr>
          <w:rFonts w:ascii="Times New Roman" w:hAnsi="Times New Roman" w:cs="Times New Roman"/>
          <w:sz w:val="20"/>
          <w:szCs w:val="20"/>
        </w:rPr>
      </w:pPr>
      <w:r w:rsidRPr="003935DC">
        <w:rPr>
          <w:rFonts w:ascii="Times New Roman" w:hAnsi="Times New Roman" w:cs="Times New Roman"/>
          <w:sz w:val="20"/>
          <w:szCs w:val="20"/>
        </w:rPr>
        <w:t>Fonte: MME (2019); EPE (2019).</w:t>
      </w:r>
      <w:r w:rsidR="003935DC" w:rsidRPr="003935DC">
        <w:rPr>
          <w:rFonts w:ascii="Times New Roman" w:hAnsi="Times New Roman" w:cs="Times New Roman"/>
          <w:sz w:val="20"/>
          <w:szCs w:val="20"/>
        </w:rPr>
        <w:t xml:space="preserve"> Elaboração própria.</w:t>
      </w:r>
    </w:p>
    <w:p w:rsidR="001A09F7" w:rsidRPr="00A90FD1" w:rsidRDefault="001A09F7" w:rsidP="00A90FD1">
      <w:pPr>
        <w:spacing w:line="360" w:lineRule="auto"/>
        <w:jc w:val="both"/>
        <w:rPr>
          <w:rFonts w:ascii="Times New Roman" w:hAnsi="Times New Roman" w:cs="Times New Roman"/>
          <w:sz w:val="24"/>
          <w:szCs w:val="24"/>
        </w:rPr>
      </w:pPr>
    </w:p>
    <w:p w:rsidR="001A09F7" w:rsidRDefault="001A09F7" w:rsidP="0091236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O PAC 2 já almejava um crescimento da potência instalada em usinas eólicas e fotovoltaicas. No PAC 3 esses investimentos foram ampliados. Todavia, a capacidade instalada de geração com essas tecnologias permanece reduzida em relação ao total, e também tem pouca expressão se comparada com países líderes nesse segmento. Mesmo assim, em 2015, os 7,63 GW de usinas eólicas brasileiras equivaliam a 77% da capacidade instalada na América do Sul para o segmento (UN, 2017). Em 2019, o parque eólico brasileiro já havia quase dobrado essa capacidade, chegando a 15,1 GW. Uma novidade, desde 2012, com a Resolução Normativa ANEEL n° 482/2012, ao consumidor foi permitida a geração de sua própria energia elétrica, inclusive lançando o excedente para a rede de distribuição. A chamada </w:t>
      </w:r>
      <w:r w:rsidRPr="0091236A">
        <w:rPr>
          <w:rFonts w:ascii="Times New Roman" w:hAnsi="Times New Roman" w:cs="Times New Roman"/>
          <w:i/>
          <w:sz w:val="24"/>
          <w:szCs w:val="24"/>
        </w:rPr>
        <w:t>geração distribuída</w:t>
      </w:r>
      <w:r w:rsidRPr="00A90FD1">
        <w:rPr>
          <w:rFonts w:ascii="Times New Roman" w:hAnsi="Times New Roman" w:cs="Times New Roman"/>
          <w:sz w:val="24"/>
          <w:szCs w:val="24"/>
        </w:rPr>
        <w:t xml:space="preserve"> estimula o uso de tecnologias limpas, mas sua participação no </w:t>
      </w:r>
      <w:r w:rsidR="0091236A">
        <w:rPr>
          <w:rFonts w:ascii="Times New Roman" w:hAnsi="Times New Roman" w:cs="Times New Roman"/>
          <w:sz w:val="24"/>
          <w:szCs w:val="24"/>
        </w:rPr>
        <w:t xml:space="preserve">total </w:t>
      </w:r>
      <w:r w:rsidRPr="00A90FD1">
        <w:rPr>
          <w:rFonts w:ascii="Times New Roman" w:hAnsi="Times New Roman" w:cs="Times New Roman"/>
          <w:sz w:val="24"/>
          <w:szCs w:val="24"/>
        </w:rPr>
        <w:t xml:space="preserve">da produção de energia </w:t>
      </w:r>
      <w:r w:rsidR="0091236A">
        <w:rPr>
          <w:rFonts w:ascii="Times New Roman" w:hAnsi="Times New Roman" w:cs="Times New Roman"/>
          <w:sz w:val="24"/>
          <w:szCs w:val="24"/>
        </w:rPr>
        <w:t xml:space="preserve">elétrica </w:t>
      </w:r>
      <w:r w:rsidRPr="00A90FD1">
        <w:rPr>
          <w:rFonts w:ascii="Times New Roman" w:hAnsi="Times New Roman" w:cs="Times New Roman"/>
          <w:sz w:val="24"/>
          <w:szCs w:val="24"/>
        </w:rPr>
        <w:t>ainda é ínfima (ANEEL, 2019).</w:t>
      </w:r>
    </w:p>
    <w:p w:rsidR="00CB0E64" w:rsidRDefault="00CB0E64" w:rsidP="00A90F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resultado, analisando-se os números de alguns dos últimos governos, é possível verificar que o governo de Dilma Rouseff obteve resultados expressivos. Com a base de comparação menor, dado o Golpe de 2016, o incremento da potência instalada total foi menor que no governo Lula, por exemplo, mas a taxa de expansão anual foi maior. </w:t>
      </w:r>
    </w:p>
    <w:p w:rsidR="00CB0E64" w:rsidRDefault="00CB0E64" w:rsidP="00A90FD1">
      <w:pPr>
        <w:spacing w:line="360" w:lineRule="auto"/>
        <w:jc w:val="both"/>
        <w:rPr>
          <w:rFonts w:ascii="Times New Roman" w:hAnsi="Times New Roman" w:cs="Times New Roman"/>
          <w:sz w:val="24"/>
          <w:szCs w:val="24"/>
        </w:rPr>
      </w:pPr>
    </w:p>
    <w:p w:rsidR="00CB0E64" w:rsidRPr="00CB0E64" w:rsidRDefault="006C4482" w:rsidP="00CB0E64">
      <w:pPr>
        <w:spacing w:line="360" w:lineRule="auto"/>
        <w:jc w:val="both"/>
        <w:rPr>
          <w:rFonts w:ascii="Times New Roman" w:hAnsi="Times New Roman" w:cs="Times New Roman"/>
          <w:sz w:val="24"/>
          <w:szCs w:val="24"/>
        </w:rPr>
      </w:pPr>
      <w:r w:rsidRPr="006C4482">
        <w:rPr>
          <w:rFonts w:ascii="Times New Roman" w:hAnsi="Times New Roman" w:cs="Times New Roman"/>
          <w:noProof/>
          <w:sz w:val="24"/>
          <w:szCs w:val="24"/>
        </w:rPr>
        <w:drawing>
          <wp:inline distT="0" distB="0" distL="0" distR="0">
            <wp:extent cx="5400040" cy="3367235"/>
            <wp:effectExtent l="19050" t="0" r="10160" b="4615"/>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0E64" w:rsidRPr="00CB0E64" w:rsidRDefault="00CB0E64" w:rsidP="00CB0E64">
      <w:pPr>
        <w:spacing w:line="360" w:lineRule="auto"/>
        <w:jc w:val="both"/>
        <w:rPr>
          <w:rFonts w:ascii="Times New Roman" w:hAnsi="Times New Roman" w:cs="Times New Roman"/>
          <w:sz w:val="24"/>
          <w:szCs w:val="24"/>
        </w:rPr>
      </w:pPr>
      <w:bookmarkStart w:id="8" w:name="_Ref20685228"/>
      <w:bookmarkStart w:id="9" w:name="_Toc20692500"/>
      <w:r w:rsidRPr="00CB0E64">
        <w:rPr>
          <w:rFonts w:ascii="Times New Roman" w:hAnsi="Times New Roman" w:cs="Times New Roman"/>
          <w:sz w:val="24"/>
          <w:szCs w:val="24"/>
        </w:rPr>
        <w:t xml:space="preserve">Gráfico </w:t>
      </w:r>
      <w:r w:rsidR="00400632" w:rsidRPr="00CB0E64">
        <w:rPr>
          <w:rFonts w:ascii="Times New Roman" w:hAnsi="Times New Roman" w:cs="Times New Roman"/>
          <w:sz w:val="24"/>
          <w:szCs w:val="24"/>
        </w:rPr>
        <w:fldChar w:fldCharType="begin"/>
      </w:r>
      <w:r w:rsidRPr="00CB0E64">
        <w:rPr>
          <w:rFonts w:ascii="Times New Roman" w:hAnsi="Times New Roman" w:cs="Times New Roman"/>
          <w:sz w:val="24"/>
          <w:szCs w:val="24"/>
        </w:rPr>
        <w:instrText xml:space="preserve"> SEQ Gráfico \* ARABIC </w:instrText>
      </w:r>
      <w:r w:rsidR="00400632" w:rsidRPr="00CB0E64">
        <w:rPr>
          <w:rFonts w:ascii="Times New Roman" w:hAnsi="Times New Roman" w:cs="Times New Roman"/>
          <w:sz w:val="24"/>
          <w:szCs w:val="24"/>
        </w:rPr>
        <w:fldChar w:fldCharType="separate"/>
      </w:r>
      <w:r>
        <w:rPr>
          <w:rFonts w:ascii="Times New Roman" w:hAnsi="Times New Roman" w:cs="Times New Roman"/>
          <w:noProof/>
          <w:sz w:val="24"/>
          <w:szCs w:val="24"/>
        </w:rPr>
        <w:t>3</w:t>
      </w:r>
      <w:r w:rsidR="00400632" w:rsidRPr="00CB0E64">
        <w:rPr>
          <w:rFonts w:ascii="Times New Roman" w:hAnsi="Times New Roman" w:cs="Times New Roman"/>
          <w:sz w:val="24"/>
          <w:szCs w:val="24"/>
        </w:rPr>
        <w:fldChar w:fldCharType="end"/>
      </w:r>
      <w:bookmarkEnd w:id="8"/>
      <w:r w:rsidRPr="00CB0E64">
        <w:rPr>
          <w:rFonts w:ascii="Times New Roman" w:hAnsi="Times New Roman" w:cs="Times New Roman"/>
          <w:sz w:val="24"/>
          <w:szCs w:val="24"/>
        </w:rPr>
        <w:t>: Incremento da potência instalada das usinas elétricas brasileiras por governo, 1995-20</w:t>
      </w:r>
      <w:bookmarkEnd w:id="9"/>
      <w:r w:rsidR="006C4482">
        <w:rPr>
          <w:rFonts w:ascii="Times New Roman" w:hAnsi="Times New Roman" w:cs="Times New Roman"/>
          <w:sz w:val="24"/>
          <w:szCs w:val="24"/>
        </w:rPr>
        <w:t>20</w:t>
      </w:r>
    </w:p>
    <w:p w:rsidR="00CB0E64" w:rsidRPr="00CB0E64" w:rsidRDefault="00CB0E64" w:rsidP="00CB0E64">
      <w:pPr>
        <w:spacing w:line="360" w:lineRule="auto"/>
        <w:jc w:val="both"/>
        <w:rPr>
          <w:rFonts w:ascii="Times New Roman" w:hAnsi="Times New Roman" w:cs="Times New Roman"/>
          <w:sz w:val="20"/>
          <w:szCs w:val="20"/>
        </w:rPr>
      </w:pPr>
      <w:r w:rsidRPr="00CB0E64">
        <w:rPr>
          <w:rFonts w:ascii="Times New Roman" w:hAnsi="Times New Roman" w:cs="Times New Roman"/>
          <w:sz w:val="20"/>
          <w:szCs w:val="20"/>
        </w:rPr>
        <w:t>Elaboração própria. Fonte: MME (</w:t>
      </w:r>
      <w:r w:rsidR="006C4482">
        <w:rPr>
          <w:rFonts w:ascii="Times New Roman" w:hAnsi="Times New Roman" w:cs="Times New Roman"/>
          <w:sz w:val="20"/>
          <w:szCs w:val="20"/>
        </w:rPr>
        <w:t>2022</w:t>
      </w:r>
      <w:r w:rsidRPr="00CB0E64">
        <w:rPr>
          <w:rFonts w:ascii="Times New Roman" w:hAnsi="Times New Roman" w:cs="Times New Roman"/>
          <w:sz w:val="20"/>
          <w:szCs w:val="20"/>
        </w:rPr>
        <w:t>)</w:t>
      </w:r>
      <w:r w:rsidR="006C4482">
        <w:rPr>
          <w:rFonts w:ascii="Times New Roman" w:hAnsi="Times New Roman" w:cs="Times New Roman"/>
          <w:sz w:val="20"/>
          <w:szCs w:val="20"/>
        </w:rPr>
        <w:t>; EPE (2022)</w:t>
      </w:r>
      <w:r w:rsidRPr="00CB0E64">
        <w:rPr>
          <w:rFonts w:ascii="Times New Roman" w:hAnsi="Times New Roman" w:cs="Times New Roman"/>
          <w:sz w:val="20"/>
          <w:szCs w:val="20"/>
        </w:rPr>
        <w:t>.</w:t>
      </w:r>
    </w:p>
    <w:p w:rsidR="00CB0E64" w:rsidRDefault="00CB0E64" w:rsidP="00A90FD1">
      <w:pPr>
        <w:spacing w:line="360" w:lineRule="auto"/>
        <w:jc w:val="both"/>
        <w:rPr>
          <w:rFonts w:ascii="Times New Roman" w:hAnsi="Times New Roman" w:cs="Times New Roman"/>
          <w:sz w:val="24"/>
          <w:szCs w:val="24"/>
        </w:rPr>
      </w:pPr>
    </w:p>
    <w:p w:rsidR="001A09F7" w:rsidRDefault="001A09F7" w:rsidP="0091236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As novas linhas de transmissão superaram 15,3 mil km de extensão, no PAC 2. O sistema associado </w:t>
      </w:r>
      <w:r w:rsidR="0091236A">
        <w:rPr>
          <w:rFonts w:ascii="Times New Roman" w:hAnsi="Times New Roman" w:cs="Times New Roman"/>
          <w:sz w:val="24"/>
          <w:szCs w:val="24"/>
        </w:rPr>
        <w:t xml:space="preserve">ao </w:t>
      </w:r>
      <w:r w:rsidRPr="00A90FD1">
        <w:rPr>
          <w:rFonts w:ascii="Times New Roman" w:hAnsi="Times New Roman" w:cs="Times New Roman"/>
          <w:sz w:val="24"/>
          <w:szCs w:val="24"/>
        </w:rPr>
        <w:t>complexo Madeira tinha concluído 4,75 mil km de linhas de transmis</w:t>
      </w:r>
      <w:r w:rsidR="0091236A">
        <w:rPr>
          <w:rFonts w:ascii="Times New Roman" w:hAnsi="Times New Roman" w:cs="Times New Roman"/>
          <w:sz w:val="24"/>
          <w:szCs w:val="24"/>
        </w:rPr>
        <w:t>são, incluindo uma linha que che</w:t>
      </w:r>
      <w:r w:rsidRPr="00A90FD1">
        <w:rPr>
          <w:rFonts w:ascii="Times New Roman" w:hAnsi="Times New Roman" w:cs="Times New Roman"/>
          <w:sz w:val="24"/>
          <w:szCs w:val="24"/>
        </w:rPr>
        <w:t>gava a Araraquara (SP). Outro tronco importante foi Tucuruí-Macapá-Manaus, com 1,8 mil km de extensão, conectando os estados do Amazonas e Amapá ao Sistema Interl</w:t>
      </w:r>
      <w:r w:rsidR="0091236A">
        <w:rPr>
          <w:rFonts w:ascii="Times New Roman" w:hAnsi="Times New Roman" w:cs="Times New Roman"/>
          <w:sz w:val="24"/>
          <w:szCs w:val="24"/>
        </w:rPr>
        <w:t>igado Nacional</w:t>
      </w:r>
      <w:r w:rsidRPr="00A90FD1">
        <w:rPr>
          <w:rFonts w:ascii="Times New Roman" w:hAnsi="Times New Roman" w:cs="Times New Roman"/>
          <w:sz w:val="24"/>
          <w:szCs w:val="24"/>
        </w:rPr>
        <w:t>.</w:t>
      </w:r>
    </w:p>
    <w:p w:rsidR="00057F8D" w:rsidRPr="00A90FD1" w:rsidRDefault="00B46286" w:rsidP="0091236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Mesmo depois da articulação parlamentar que levou ao </w:t>
      </w:r>
      <w:r w:rsidRPr="00B46286">
        <w:rPr>
          <w:rFonts w:ascii="Times New Roman" w:hAnsi="Times New Roman" w:cs="Times New Roman"/>
          <w:sz w:val="24"/>
          <w:szCs w:val="24"/>
        </w:rPr>
        <w:t>Impeachment</w:t>
      </w:r>
      <w:r>
        <w:rPr>
          <w:rFonts w:ascii="Times New Roman" w:hAnsi="Times New Roman" w:cs="Times New Roman"/>
          <w:sz w:val="24"/>
          <w:szCs w:val="24"/>
        </w:rPr>
        <w:t xml:space="preserve"> de </w:t>
      </w:r>
      <w:r w:rsidRPr="00B46286">
        <w:rPr>
          <w:rFonts w:ascii="Times New Roman" w:hAnsi="Times New Roman" w:cs="Times New Roman"/>
          <w:sz w:val="24"/>
          <w:szCs w:val="24"/>
        </w:rPr>
        <w:t>Dilma Rousseff</w:t>
      </w:r>
      <w:r>
        <w:rPr>
          <w:rFonts w:ascii="Times New Roman" w:hAnsi="Times New Roman" w:cs="Times New Roman"/>
          <w:sz w:val="24"/>
          <w:szCs w:val="24"/>
        </w:rPr>
        <w:t>, por algum tempo, obras que estavam em andamento no bojo do PAC continuaram sendo tocadas. Inclusive, isso manteve elevado o percentual médio de incremento do potencial instalado de energia elétrica no país sob Temer. Contudo, o Governo Temer, assim como seu sucessor, Bolsonaro, significou o retorno pendular a uma afiliação ideológica neoliberal. As obras do setor elétrico, assim como inúmeras obras iniciadas no PAC, reduziram abrubtamente o rítimo. A capacidade instalada do setor elétrico vem crescendo a taxas baixas, que só não se evidenciam pelo péssimo desempenho da economia.</w:t>
      </w:r>
      <w:r w:rsidR="009C0C30">
        <w:rPr>
          <w:rFonts w:ascii="Times New Roman" w:hAnsi="Times New Roman" w:cs="Times New Roman"/>
          <w:sz w:val="24"/>
          <w:szCs w:val="24"/>
        </w:rPr>
        <w:t xml:space="preserve"> Como no passado, novamente a Eletrobrás voltou à mira dos privatistas. A situação da estatal aguarda o desenrolar de um processo de priatização, que já foi anunciado entre as prioridades do governo atual.</w:t>
      </w:r>
    </w:p>
    <w:p w:rsidR="001A09F7" w:rsidRPr="00A90FD1" w:rsidRDefault="001A09F7" w:rsidP="0091236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lastRenderedPageBreak/>
        <w:t xml:space="preserve">No cenário internacional, o Brasil aparece como um grande produtor de energia elétrica. Suas dimensões continentais e o vasto potencial hidráulico permitem ao país um destaque, especialmente quanto ao emprego de fontes renováveis. O Brasil </w:t>
      </w:r>
      <w:r w:rsidR="009C0C30">
        <w:rPr>
          <w:rFonts w:ascii="Times New Roman" w:hAnsi="Times New Roman" w:cs="Times New Roman"/>
          <w:sz w:val="24"/>
          <w:szCs w:val="24"/>
        </w:rPr>
        <w:t>está entre os maiores</w:t>
      </w:r>
      <w:r w:rsidRPr="00A90FD1">
        <w:rPr>
          <w:rFonts w:ascii="Times New Roman" w:hAnsi="Times New Roman" w:cs="Times New Roman"/>
          <w:sz w:val="24"/>
          <w:szCs w:val="24"/>
        </w:rPr>
        <w:t xml:space="preserve"> produtor</w:t>
      </w:r>
      <w:r w:rsidR="009C0C30">
        <w:rPr>
          <w:rFonts w:ascii="Times New Roman" w:hAnsi="Times New Roman" w:cs="Times New Roman"/>
          <w:sz w:val="24"/>
          <w:szCs w:val="24"/>
        </w:rPr>
        <w:t>es</w:t>
      </w:r>
      <w:r w:rsidRPr="00A90FD1">
        <w:rPr>
          <w:rFonts w:ascii="Times New Roman" w:hAnsi="Times New Roman" w:cs="Times New Roman"/>
          <w:sz w:val="24"/>
          <w:szCs w:val="24"/>
        </w:rPr>
        <w:t xml:space="preserve"> de energia elétrica do mundo. Após a descoberta de petróleo do pré-sal, o país assumiria também o status de detentor de grandes reservas energéticas de origem fóssil.</w:t>
      </w:r>
    </w:p>
    <w:p w:rsidR="001A09F7" w:rsidRDefault="001A09F7" w:rsidP="00A90FD1">
      <w:pPr>
        <w:pStyle w:val="Heading1"/>
        <w:spacing w:line="360" w:lineRule="auto"/>
        <w:jc w:val="both"/>
        <w:rPr>
          <w:rFonts w:ascii="Times New Roman" w:hAnsi="Times New Roman" w:cs="Times New Roman"/>
          <w:sz w:val="24"/>
          <w:szCs w:val="24"/>
        </w:rPr>
      </w:pPr>
      <w:bookmarkStart w:id="10" w:name="_Toc30548817"/>
    </w:p>
    <w:p w:rsidR="009D4FA8" w:rsidRPr="009D4FA8" w:rsidRDefault="009D4FA8" w:rsidP="009D4FA8"/>
    <w:p w:rsidR="001A09F7" w:rsidRPr="00A90FD1" w:rsidRDefault="001A09F7" w:rsidP="00C30F50">
      <w:pPr>
        <w:pStyle w:val="Heading1"/>
        <w:spacing w:line="360" w:lineRule="auto"/>
        <w:jc w:val="both"/>
        <w:rPr>
          <w:rFonts w:ascii="Times New Roman" w:hAnsi="Times New Roman" w:cs="Times New Roman"/>
          <w:sz w:val="24"/>
          <w:szCs w:val="24"/>
        </w:rPr>
      </w:pPr>
      <w:r w:rsidRPr="00A90FD1">
        <w:rPr>
          <w:rFonts w:ascii="Times New Roman" w:hAnsi="Times New Roman" w:cs="Times New Roman"/>
          <w:sz w:val="24"/>
          <w:szCs w:val="24"/>
        </w:rPr>
        <w:t>CONCLUSÃO</w:t>
      </w:r>
      <w:bookmarkEnd w:id="10"/>
    </w:p>
    <w:p w:rsidR="001A09F7" w:rsidRPr="00A90FD1" w:rsidRDefault="001A09F7" w:rsidP="00C30F50">
      <w:pPr>
        <w:spacing w:line="360" w:lineRule="auto"/>
        <w:ind w:firstLine="567"/>
        <w:jc w:val="both"/>
        <w:rPr>
          <w:rFonts w:ascii="Times New Roman" w:hAnsi="Times New Roman" w:cs="Times New Roman"/>
          <w:sz w:val="24"/>
          <w:szCs w:val="24"/>
        </w:rPr>
      </w:pPr>
    </w:p>
    <w:p w:rsidR="00DB025E" w:rsidRPr="00DB025E" w:rsidRDefault="004026E7" w:rsidP="00C30F5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DB025E" w:rsidRPr="00DB025E">
        <w:rPr>
          <w:rFonts w:ascii="Times New Roman" w:hAnsi="Times New Roman" w:cs="Times New Roman"/>
          <w:sz w:val="24"/>
          <w:szCs w:val="24"/>
        </w:rPr>
        <w:t xml:space="preserve">ntre fins do século XIX e a década de 1910, </w:t>
      </w:r>
      <w:r>
        <w:rPr>
          <w:rFonts w:ascii="Times New Roman" w:hAnsi="Times New Roman" w:cs="Times New Roman"/>
          <w:sz w:val="24"/>
          <w:szCs w:val="24"/>
        </w:rPr>
        <w:t>a</w:t>
      </w:r>
      <w:r w:rsidRPr="00DB025E">
        <w:rPr>
          <w:rFonts w:ascii="Times New Roman" w:hAnsi="Times New Roman" w:cs="Times New Roman"/>
          <w:sz w:val="24"/>
          <w:szCs w:val="24"/>
        </w:rPr>
        <w:t xml:space="preserve"> eletrificação no Brasil</w:t>
      </w:r>
      <w:r>
        <w:rPr>
          <w:rFonts w:ascii="Times New Roman" w:hAnsi="Times New Roman" w:cs="Times New Roman"/>
          <w:sz w:val="24"/>
          <w:szCs w:val="24"/>
        </w:rPr>
        <w:t xml:space="preserve"> </w:t>
      </w:r>
      <w:r w:rsidR="00DB025E" w:rsidRPr="00DB025E">
        <w:rPr>
          <w:rFonts w:ascii="Times New Roman" w:hAnsi="Times New Roman" w:cs="Times New Roman"/>
          <w:sz w:val="24"/>
          <w:szCs w:val="24"/>
        </w:rPr>
        <w:t>estev</w:t>
      </w:r>
      <w:r>
        <w:rPr>
          <w:rFonts w:ascii="Times New Roman" w:hAnsi="Times New Roman" w:cs="Times New Roman"/>
          <w:sz w:val="24"/>
          <w:szCs w:val="24"/>
        </w:rPr>
        <w:t>a circunscrita às</w:t>
      </w:r>
      <w:r w:rsidR="00DB025E" w:rsidRPr="00DB025E">
        <w:rPr>
          <w:rFonts w:ascii="Times New Roman" w:hAnsi="Times New Roman" w:cs="Times New Roman"/>
          <w:sz w:val="24"/>
          <w:szCs w:val="24"/>
        </w:rPr>
        <w:t xml:space="preserve"> concentraç</w:t>
      </w:r>
      <w:r>
        <w:rPr>
          <w:rFonts w:ascii="Times New Roman" w:hAnsi="Times New Roman" w:cs="Times New Roman"/>
          <w:sz w:val="24"/>
          <w:szCs w:val="24"/>
        </w:rPr>
        <w:t xml:space="preserve">ões </w:t>
      </w:r>
      <w:r w:rsidR="00DB025E" w:rsidRPr="00DB025E">
        <w:rPr>
          <w:rFonts w:ascii="Times New Roman" w:hAnsi="Times New Roman" w:cs="Times New Roman"/>
          <w:sz w:val="24"/>
          <w:szCs w:val="24"/>
        </w:rPr>
        <w:t>urbana</w:t>
      </w:r>
      <w:r>
        <w:rPr>
          <w:rFonts w:ascii="Times New Roman" w:hAnsi="Times New Roman" w:cs="Times New Roman"/>
          <w:sz w:val="24"/>
          <w:szCs w:val="24"/>
        </w:rPr>
        <w:t>s</w:t>
      </w:r>
      <w:r w:rsidR="00DB025E" w:rsidRPr="00DB025E">
        <w:rPr>
          <w:rFonts w:ascii="Times New Roman" w:hAnsi="Times New Roman" w:cs="Times New Roman"/>
          <w:sz w:val="24"/>
          <w:szCs w:val="24"/>
        </w:rPr>
        <w:t xml:space="preserve">. </w:t>
      </w:r>
      <w:r>
        <w:rPr>
          <w:rFonts w:ascii="Times New Roman" w:hAnsi="Times New Roman" w:cs="Times New Roman"/>
          <w:sz w:val="24"/>
          <w:szCs w:val="24"/>
        </w:rPr>
        <w:t>As firmas nacionais n</w:t>
      </w:r>
      <w:r w:rsidR="00DB025E" w:rsidRPr="00DB025E">
        <w:rPr>
          <w:rFonts w:ascii="Times New Roman" w:hAnsi="Times New Roman" w:cs="Times New Roman"/>
          <w:sz w:val="24"/>
          <w:szCs w:val="24"/>
        </w:rPr>
        <w:t xml:space="preserve">ão </w:t>
      </w:r>
      <w:r>
        <w:rPr>
          <w:rFonts w:ascii="Times New Roman" w:hAnsi="Times New Roman" w:cs="Times New Roman"/>
          <w:sz w:val="24"/>
          <w:szCs w:val="24"/>
        </w:rPr>
        <w:t xml:space="preserve">tinham </w:t>
      </w:r>
      <w:r w:rsidR="00DB025E" w:rsidRPr="00DB025E">
        <w:rPr>
          <w:rFonts w:ascii="Times New Roman" w:hAnsi="Times New Roman" w:cs="Times New Roman"/>
          <w:sz w:val="24"/>
          <w:szCs w:val="24"/>
        </w:rPr>
        <w:t xml:space="preserve">domínio tecnológico e os </w:t>
      </w:r>
      <w:r>
        <w:rPr>
          <w:rFonts w:ascii="Times New Roman" w:hAnsi="Times New Roman" w:cs="Times New Roman"/>
          <w:sz w:val="24"/>
          <w:szCs w:val="24"/>
        </w:rPr>
        <w:t xml:space="preserve">grandes </w:t>
      </w:r>
      <w:r w:rsidR="00DB025E" w:rsidRPr="00DB025E">
        <w:rPr>
          <w:rFonts w:ascii="Times New Roman" w:hAnsi="Times New Roman" w:cs="Times New Roman"/>
          <w:sz w:val="24"/>
          <w:szCs w:val="24"/>
        </w:rPr>
        <w:t xml:space="preserve">investimentos </w:t>
      </w:r>
      <w:r>
        <w:rPr>
          <w:rFonts w:ascii="Times New Roman" w:hAnsi="Times New Roman" w:cs="Times New Roman"/>
          <w:sz w:val="24"/>
          <w:szCs w:val="24"/>
        </w:rPr>
        <w:t>nos</w:t>
      </w:r>
      <w:r w:rsidR="00DB025E" w:rsidRPr="00DB025E">
        <w:rPr>
          <w:rFonts w:ascii="Times New Roman" w:hAnsi="Times New Roman" w:cs="Times New Roman"/>
          <w:sz w:val="24"/>
          <w:szCs w:val="24"/>
        </w:rPr>
        <w:t xml:space="preserve"> sistemas elétricos dependiam</w:t>
      </w:r>
      <w:r>
        <w:rPr>
          <w:rFonts w:ascii="Times New Roman" w:hAnsi="Times New Roman" w:cs="Times New Roman"/>
          <w:sz w:val="24"/>
          <w:szCs w:val="24"/>
        </w:rPr>
        <w:t xml:space="preserve"> de </w:t>
      </w:r>
      <w:r w:rsidR="00DB025E" w:rsidRPr="00DB025E">
        <w:rPr>
          <w:rFonts w:ascii="Times New Roman" w:hAnsi="Times New Roman" w:cs="Times New Roman"/>
          <w:sz w:val="24"/>
          <w:szCs w:val="24"/>
        </w:rPr>
        <w:t>capital externo</w:t>
      </w:r>
      <w:r>
        <w:rPr>
          <w:rFonts w:ascii="Times New Roman" w:hAnsi="Times New Roman" w:cs="Times New Roman"/>
          <w:sz w:val="24"/>
          <w:szCs w:val="24"/>
        </w:rPr>
        <w:t>, caso houvesse intersse</w:t>
      </w:r>
      <w:r w:rsidR="00DB025E" w:rsidRPr="00DB025E">
        <w:rPr>
          <w:rFonts w:ascii="Times New Roman" w:hAnsi="Times New Roman" w:cs="Times New Roman"/>
          <w:sz w:val="24"/>
          <w:szCs w:val="24"/>
        </w:rPr>
        <w:t>.</w:t>
      </w:r>
    </w:p>
    <w:p w:rsidR="00DB025E" w:rsidRPr="00DB025E" w:rsidRDefault="004026E7" w:rsidP="00C30F5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Havia, assim, algum espaço para investimentos de capitais nacionais para as</w:t>
      </w:r>
      <w:r w:rsidR="00DB025E" w:rsidRPr="00DB025E">
        <w:rPr>
          <w:rFonts w:ascii="Times New Roman" w:hAnsi="Times New Roman" w:cs="Times New Roman"/>
          <w:sz w:val="24"/>
          <w:szCs w:val="24"/>
        </w:rPr>
        <w:t xml:space="preserve"> primeiras concessões do interior do país. </w:t>
      </w:r>
      <w:r>
        <w:rPr>
          <w:rFonts w:ascii="Times New Roman" w:hAnsi="Times New Roman" w:cs="Times New Roman"/>
          <w:sz w:val="24"/>
          <w:szCs w:val="24"/>
        </w:rPr>
        <w:t xml:space="preserve">Esses empresários, pelo volume de recursos, </w:t>
      </w:r>
      <w:r w:rsidR="00DB025E" w:rsidRPr="00DB025E">
        <w:rPr>
          <w:rFonts w:ascii="Times New Roman" w:hAnsi="Times New Roman" w:cs="Times New Roman"/>
          <w:sz w:val="24"/>
          <w:szCs w:val="24"/>
        </w:rPr>
        <w:t>pioneirismo e dependência tecnológica externa</w:t>
      </w:r>
      <w:r>
        <w:rPr>
          <w:rFonts w:ascii="Times New Roman" w:hAnsi="Times New Roman" w:cs="Times New Roman"/>
          <w:sz w:val="24"/>
          <w:szCs w:val="24"/>
        </w:rPr>
        <w:t xml:space="preserve">, precisavam, comumente, se </w:t>
      </w:r>
      <w:r w:rsidR="00DB025E" w:rsidRPr="00DB025E">
        <w:rPr>
          <w:rFonts w:ascii="Times New Roman" w:hAnsi="Times New Roman" w:cs="Times New Roman"/>
          <w:sz w:val="24"/>
          <w:szCs w:val="24"/>
        </w:rPr>
        <w:t>associa</w:t>
      </w:r>
      <w:r>
        <w:rPr>
          <w:rFonts w:ascii="Times New Roman" w:hAnsi="Times New Roman" w:cs="Times New Roman"/>
          <w:sz w:val="24"/>
          <w:szCs w:val="24"/>
        </w:rPr>
        <w:t>r</w:t>
      </w:r>
      <w:r w:rsidR="00DB025E" w:rsidRPr="00DB025E">
        <w:rPr>
          <w:rFonts w:ascii="Times New Roman" w:hAnsi="Times New Roman" w:cs="Times New Roman"/>
          <w:sz w:val="24"/>
          <w:szCs w:val="24"/>
        </w:rPr>
        <w:t>.</w:t>
      </w:r>
      <w:r>
        <w:rPr>
          <w:rFonts w:ascii="Times New Roman" w:hAnsi="Times New Roman" w:cs="Times New Roman"/>
          <w:sz w:val="24"/>
          <w:szCs w:val="24"/>
        </w:rPr>
        <w:t xml:space="preserve"> </w:t>
      </w:r>
      <w:r w:rsidR="00DB025E" w:rsidRPr="00DB025E">
        <w:rPr>
          <w:rFonts w:ascii="Times New Roman" w:hAnsi="Times New Roman" w:cs="Times New Roman"/>
          <w:sz w:val="24"/>
          <w:szCs w:val="24"/>
        </w:rPr>
        <w:t>A associação de capitais para os empreendimentos elétricos, em magnitudes diversas, foi o mecanismo principal para atenuar os riscos, não somente no setor elétrico, mas como prática de uma época. Esses empresários eram oriundos de atividades industriais e semi-industri</w:t>
      </w:r>
      <w:r w:rsidR="009C0C30">
        <w:rPr>
          <w:rFonts w:ascii="Times New Roman" w:hAnsi="Times New Roman" w:cs="Times New Roman"/>
          <w:sz w:val="24"/>
          <w:szCs w:val="24"/>
        </w:rPr>
        <w:t>ais principais responsáveis pela</w:t>
      </w:r>
      <w:r w:rsidR="00DB025E" w:rsidRPr="00DB025E">
        <w:rPr>
          <w:rFonts w:ascii="Times New Roman" w:hAnsi="Times New Roman" w:cs="Times New Roman"/>
          <w:sz w:val="24"/>
          <w:szCs w:val="24"/>
        </w:rPr>
        <w:t xml:space="preserve"> acumulação regional. </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Ao lado desse capital local, o crédito externo aparece com relativa importância, na década de 1910 e 1920, na construção dos maiores sistemas. Partindo de diversos setores, seja por associação ou iniciativa individual, pequenas plantas de geração surgiam pelo autofinancimento para atendimento de necessidades locais em várias localidades, desde a década de 1920 e seguindo até os anos 1950.</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 xml:space="preserve">Nas regiões menos urbanizadas, o poder público municipal assumiu papel relevante para os primeiros esforços de eletrificação, o que se estendeu até a década de 1960. Em princípio, em todas as regiões, a responsabilidade da administração pública esteve basicamente limitada à outorga das concessões particulares para exploração da atividade, mas logo o poder público também assumiu diretamente as iniciativas na área. Nos anos 1930, houve uma centralização do poder decisório sobre as concessões e foi estabelecido como marco regulatório o Código de Águas. </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lastRenderedPageBreak/>
        <w:t>Reconhecida, empiricamente, como símbolo incontestável da modernidade, aonde chegava, a iluminação elétrica era motivo de celebração e toda a gente se reunia deslumbrada com a novidade tecnológica, ainda que precárias as plantas geradoras. Não são raros os relatos de festejos e euforia da população atendida.</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Paradoxalmente, junto com o espraiamento da eletrificação pelo território, entre 1930 e o fim da Segunda Guerra, o país também sentiu o estrangulamento da oferta de energia. Sem grandes investimentos, a capacidade “ociosa”</w:t>
      </w:r>
      <w:r w:rsidR="004026E7">
        <w:rPr>
          <w:rFonts w:ascii="Times New Roman" w:hAnsi="Times New Roman" w:cs="Times New Roman"/>
          <w:sz w:val="24"/>
          <w:szCs w:val="24"/>
        </w:rPr>
        <w:t xml:space="preserve"> </w:t>
      </w:r>
      <w:r w:rsidRPr="00DB025E">
        <w:rPr>
          <w:rFonts w:ascii="Times New Roman" w:hAnsi="Times New Roman" w:cs="Times New Roman"/>
          <w:sz w:val="24"/>
          <w:szCs w:val="24"/>
        </w:rPr>
        <w:t>das maiores usinas não seria suficiente para fazer frente à demanda de energia elétrica que se alargava e intensificava, pelo emprego na indústria. Ao iniciar a década de 1950, o parque gerador era o somatório de usinas de baixíssima capacidade instalada (mesmo para os padrões da época) e algumas poucas grandes usinas.</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Naquele momento já era visível que as transformações técnicas conduziam a economias de escala com um novo padrão de volume de capital fixo para os sistemas elétricos, algo dificilmente alcançado numa acumulação periférica. Essa conjuntura afluiu para a formação do Estado empresário em vários setores, inclusive no setor elétrico, especialmente nos países,</w:t>
      </w:r>
      <w:r w:rsidR="004026E7">
        <w:rPr>
          <w:rFonts w:ascii="Times New Roman" w:hAnsi="Times New Roman" w:cs="Times New Roman"/>
          <w:sz w:val="24"/>
          <w:szCs w:val="24"/>
        </w:rPr>
        <w:t xml:space="preserve"> </w:t>
      </w:r>
      <w:r w:rsidRPr="00DB025E">
        <w:rPr>
          <w:rFonts w:ascii="Times New Roman" w:hAnsi="Times New Roman" w:cs="Times New Roman"/>
          <w:sz w:val="24"/>
          <w:szCs w:val="24"/>
        </w:rPr>
        <w:t>então, considerados subdesenvolvidos.</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A regra no processo de transformação do setor elétrico brasileiro seguiu, originalmente,</w:t>
      </w:r>
      <w:r w:rsidR="004026E7">
        <w:rPr>
          <w:rFonts w:ascii="Times New Roman" w:hAnsi="Times New Roman" w:cs="Times New Roman"/>
          <w:sz w:val="24"/>
          <w:szCs w:val="24"/>
        </w:rPr>
        <w:t xml:space="preserve"> </w:t>
      </w:r>
      <w:r w:rsidRPr="00DB025E">
        <w:rPr>
          <w:rFonts w:ascii="Times New Roman" w:hAnsi="Times New Roman" w:cs="Times New Roman"/>
          <w:sz w:val="24"/>
          <w:szCs w:val="24"/>
        </w:rPr>
        <w:t>a dependência de iniciativas de empresas privadas; com a expansão das demandas de energia observada nos anos 1930, decorrente dos processos de urbanização e industrialização, apareceram os gargalos num setor de infraestrutura decisivo para promover o crescimento econômico; a, consequente, ampliação da participação estatal setor elétrico e; por fim um processo de interconexão de sistemas elétricos.</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No início dos anos 1950, teria ocorrido no Brasil uma segmentação do setor elétrico. Empresas privadas, sobretudo estrangeiras,</w:t>
      </w:r>
      <w:r w:rsidR="004026E7">
        <w:rPr>
          <w:rFonts w:ascii="Times New Roman" w:hAnsi="Times New Roman" w:cs="Times New Roman"/>
          <w:sz w:val="24"/>
          <w:szCs w:val="24"/>
        </w:rPr>
        <w:t xml:space="preserve"> </w:t>
      </w:r>
      <w:r w:rsidRPr="00DB025E">
        <w:rPr>
          <w:rFonts w:ascii="Times New Roman" w:hAnsi="Times New Roman" w:cs="Times New Roman"/>
          <w:sz w:val="24"/>
          <w:szCs w:val="24"/>
        </w:rPr>
        <w:t>reduziram sua participação na geração da eletricidade, para que o Estado assumisse tal papel. Esse processo deve ser compreendido pela decisiva inflexão da economia brasileira durante o período do governo Vargas, quando não somente o Estado passou a intervir crescentemente no mercado, no caso do setor elétrico, regulando tarifas e concessões, mas também começou a criar instrumentos, que nas décadas seguintes seriam fundamentais para a entrada do governo no setor.</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 xml:space="preserve">Há importantes estudos que imputam as transformações econômicas intensas passadas pela economia brasileira entre a metade dos anos 1950 (e mesmo antes) e fins da década de 1970 ao uso do planejamento econômico. E há também uma bibliografia que trata de história econômica regional e nacional que sempre reserva considerações </w:t>
      </w:r>
      <w:r w:rsidRPr="00DB025E">
        <w:rPr>
          <w:rFonts w:ascii="Times New Roman" w:hAnsi="Times New Roman" w:cs="Times New Roman"/>
          <w:sz w:val="24"/>
          <w:szCs w:val="24"/>
        </w:rPr>
        <w:lastRenderedPageBreak/>
        <w:t>alongadas sobre as transformações encadeadas nesse momento de racionalidade industrialista.</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Obras de grande expressão na academia e na vida política nacional</w:t>
      </w:r>
      <w:r w:rsidR="001367E4">
        <w:rPr>
          <w:rFonts w:ascii="Times New Roman" w:hAnsi="Times New Roman" w:cs="Times New Roman"/>
          <w:sz w:val="24"/>
          <w:szCs w:val="24"/>
        </w:rPr>
        <w:t xml:space="preserve"> </w:t>
      </w:r>
      <w:r w:rsidRPr="00DB025E">
        <w:rPr>
          <w:rFonts w:ascii="Times New Roman" w:hAnsi="Times New Roman" w:cs="Times New Roman"/>
          <w:sz w:val="24"/>
          <w:szCs w:val="24"/>
        </w:rPr>
        <w:t>detalham e analisam a industrialização pesada como consequência da elaboração e efetiva execução de grandes blocos de investimentos planejados centralmente. E qualquer que seja a periodização ou categorização da história econômica brasileira, esta terá que considerar a fase em que a economia se desenvolvia sob a égide do planejamento.</w:t>
      </w:r>
    </w:p>
    <w:p w:rsidR="00DB025E" w:rsidRPr="00DB025E" w:rsidRDefault="001367E4" w:rsidP="00C30F5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DB025E" w:rsidRPr="00DB025E">
        <w:rPr>
          <w:rFonts w:ascii="Times New Roman" w:hAnsi="Times New Roman" w:cs="Times New Roman"/>
          <w:sz w:val="24"/>
          <w:szCs w:val="24"/>
        </w:rPr>
        <w:t xml:space="preserve"> cenário econômico internacional e</w:t>
      </w:r>
      <w:r>
        <w:rPr>
          <w:rFonts w:ascii="Times New Roman" w:hAnsi="Times New Roman" w:cs="Times New Roman"/>
          <w:sz w:val="24"/>
          <w:szCs w:val="24"/>
        </w:rPr>
        <w:t>ra de</w:t>
      </w:r>
      <w:r w:rsidR="00DB025E" w:rsidRPr="00DB025E">
        <w:rPr>
          <w:rFonts w:ascii="Times New Roman" w:hAnsi="Times New Roman" w:cs="Times New Roman"/>
          <w:sz w:val="24"/>
          <w:szCs w:val="24"/>
        </w:rPr>
        <w:t xml:space="preserve"> novas concepções na teoria econômica</w:t>
      </w:r>
      <w:r>
        <w:rPr>
          <w:rFonts w:ascii="Times New Roman" w:hAnsi="Times New Roman" w:cs="Times New Roman"/>
          <w:sz w:val="24"/>
          <w:szCs w:val="24"/>
        </w:rPr>
        <w:t xml:space="preserve"> que</w:t>
      </w:r>
      <w:r w:rsidR="00DB025E" w:rsidRPr="00DB025E">
        <w:rPr>
          <w:rFonts w:ascii="Times New Roman" w:hAnsi="Times New Roman" w:cs="Times New Roman"/>
          <w:sz w:val="24"/>
          <w:szCs w:val="24"/>
        </w:rPr>
        <w:t xml:space="preserve"> acolhiam as ideias intervencionistas, a expansão do gasto público como fator de crescimento e a programação econômic</w:t>
      </w:r>
      <w:r>
        <w:rPr>
          <w:rFonts w:ascii="Times New Roman" w:hAnsi="Times New Roman" w:cs="Times New Roman"/>
          <w:sz w:val="24"/>
          <w:szCs w:val="24"/>
        </w:rPr>
        <w:t>a como método dessa intervenção</w:t>
      </w:r>
      <w:r w:rsidR="00DB025E" w:rsidRPr="00DB025E">
        <w:rPr>
          <w:rFonts w:ascii="Times New Roman" w:hAnsi="Times New Roman" w:cs="Times New Roman"/>
          <w:sz w:val="24"/>
          <w:szCs w:val="24"/>
        </w:rPr>
        <w:t>. E o setor elétrico estava no topo de prioridades de todos os governos.</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Consonante, Vargas tentou, em meados da década de 1950, executar um grande plano de eletrificação, mas o projeto não passou no congresso. A criação de uma grande estatal para deslanchar o setor, como a Eletrobrás, também não passaria rapidamente no Congresso, sendo adiada para a década seguinte. Contudo, no campo do desenvolvimento energético, os planos para o carvão e petróleo foram aprovados. Além disso, com o BNDE e o Imposto Único sobre Energia Elétrica - IUEE, garantiu-se instrumentos essenciais para centralizar os recursos necessários às obras do setor elétrico, que seguiram, em boa medida, os estudos elaborados tanto pela Comissão Mistas Brasil-Estados Unidos como pelo frustrado Plano Nacional de Eletrificação.</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 xml:space="preserve">Também não foi ao acaso que os resultados mais expressivos para a eletrificação no país viriam das metas setoriais do Plano de Metas e do II PND. Isso, além da ampla participação das administrações estaduais na elaboração de planos próprios, que, no geral, se conjugavam aos objetivos federais. De fato, sem os gastos do Estado, na periferia, pouco teria se desenvolvido o setor elétrico, o que observamos em nosso objeto de pesquisa. </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O processo de estatização progressiva ocorreu como um desdobramento dos projetos de eletrificação do segundo governo Vargas, já que foram os estados que acabaram implantando os preceitos do programa, em troca da aprovação de financiamentos.</w:t>
      </w:r>
    </w:p>
    <w:p w:rsidR="00DB025E" w:rsidRPr="00DB025E" w:rsidRDefault="00DB025E" w:rsidP="007609AD">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 xml:space="preserve">Em alguns estados brasileiros as concessionárias privadas permaneceriam no setor de distribuição, em outros, em meio aos projetos de planejamento, os governos estaduais assumiram progressivamente o setor. Nas duas décadas seguintes (somando-se ainda as empresas federais para o setor elétrico) esse papel será ampliado, com maiores </w:t>
      </w:r>
      <w:r w:rsidRPr="00DB025E">
        <w:rPr>
          <w:rFonts w:ascii="Times New Roman" w:hAnsi="Times New Roman" w:cs="Times New Roman"/>
          <w:sz w:val="24"/>
          <w:szCs w:val="24"/>
        </w:rPr>
        <w:lastRenderedPageBreak/>
        <w:t>inversões em plantas de geração e redes elétricas.</w:t>
      </w:r>
      <w:r w:rsidR="001367E4">
        <w:rPr>
          <w:rFonts w:ascii="Times New Roman" w:hAnsi="Times New Roman" w:cs="Times New Roman"/>
          <w:sz w:val="24"/>
          <w:szCs w:val="24"/>
        </w:rPr>
        <w:t xml:space="preserve"> </w:t>
      </w:r>
      <w:r w:rsidRPr="00DB025E">
        <w:rPr>
          <w:rFonts w:ascii="Times New Roman" w:hAnsi="Times New Roman" w:cs="Times New Roman"/>
          <w:sz w:val="24"/>
          <w:szCs w:val="24"/>
        </w:rPr>
        <w:t>Desde a década de 1950, as metas dos governos federal e estaduais conjugavam-se na expansão do sistema de abastecimento de energia elétrica no país.</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Na década de 1960, já estava consolidado um esquema de expansão do setor elétrico brasileiro, em que o governo federal responsabilizava-se pela construção de grandes usinas hidrelétricas e suas extensas linhas de transmissão. Alguns estados ainda faziam investimentos residuais em geração elétrica e partiam, essencialmente, para ampliação das redes de transmissão e distribuição, já com objetivos claros de alcançar todas as partes do território estadual.</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 xml:space="preserve">As </w:t>
      </w:r>
      <w:r w:rsidRPr="00DB025E">
        <w:rPr>
          <w:rFonts w:ascii="Times New Roman" w:hAnsi="Times New Roman" w:cs="Times New Roman"/>
          <w:i/>
          <w:sz w:val="24"/>
          <w:szCs w:val="24"/>
        </w:rPr>
        <w:t>holdings</w:t>
      </w:r>
      <w:r w:rsidRPr="00DB025E">
        <w:rPr>
          <w:rFonts w:ascii="Times New Roman" w:hAnsi="Times New Roman" w:cs="Times New Roman"/>
          <w:sz w:val="24"/>
          <w:szCs w:val="24"/>
        </w:rPr>
        <w:t xml:space="preserve"> transnacionais </w:t>
      </w:r>
      <w:r w:rsidR="00D90BD8">
        <w:rPr>
          <w:rFonts w:ascii="Times New Roman" w:hAnsi="Times New Roman" w:cs="Times New Roman"/>
          <w:sz w:val="24"/>
          <w:szCs w:val="24"/>
        </w:rPr>
        <w:t xml:space="preserve">da eletrotécnica </w:t>
      </w:r>
      <w:r w:rsidRPr="00DB025E">
        <w:rPr>
          <w:rFonts w:ascii="Times New Roman" w:hAnsi="Times New Roman" w:cs="Times New Roman"/>
          <w:sz w:val="24"/>
          <w:szCs w:val="24"/>
        </w:rPr>
        <w:t>encaixavam-se nesse esquema como fornecedoras das estatais, especialmente da Eletrobrás e suas subsidiárias. O capital privado nacional ficava com a produção de material elétrico de menor complexidade, o que mudaria com a política de incentivo do II PND. Esse segundo momento de intenso planejamento e execução de um arrojado programa de industrialização pesada também foi marcado por uma forte expansão dos sistemas elétricos do país.</w:t>
      </w:r>
    </w:p>
    <w:p w:rsidR="00DB025E" w:rsidRPr="00DB025E"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 xml:space="preserve">No Sul do país ficou localizada uma </w:t>
      </w:r>
      <w:r w:rsidR="00D90BD8">
        <w:rPr>
          <w:rFonts w:ascii="Times New Roman" w:hAnsi="Times New Roman" w:cs="Times New Roman"/>
          <w:sz w:val="24"/>
          <w:szCs w:val="24"/>
        </w:rPr>
        <w:t xml:space="preserve">gigantesca </w:t>
      </w:r>
      <w:r w:rsidRPr="00DB025E">
        <w:rPr>
          <w:rFonts w:ascii="Times New Roman" w:hAnsi="Times New Roman" w:cs="Times New Roman"/>
          <w:sz w:val="24"/>
          <w:szCs w:val="24"/>
        </w:rPr>
        <w:t>obra</w:t>
      </w:r>
      <w:r w:rsidR="00D90BD8">
        <w:rPr>
          <w:rFonts w:ascii="Times New Roman" w:hAnsi="Times New Roman" w:cs="Times New Roman"/>
          <w:sz w:val="24"/>
          <w:szCs w:val="24"/>
        </w:rPr>
        <w:t xml:space="preserve"> que demonstra a </w:t>
      </w:r>
      <w:r w:rsidRPr="00DB025E">
        <w:rPr>
          <w:rFonts w:ascii="Times New Roman" w:hAnsi="Times New Roman" w:cs="Times New Roman"/>
          <w:sz w:val="24"/>
          <w:szCs w:val="24"/>
        </w:rPr>
        <w:t xml:space="preserve">ideia de grandiosidade que o II PND </w:t>
      </w:r>
      <w:r w:rsidR="00D90BD8">
        <w:rPr>
          <w:rFonts w:ascii="Times New Roman" w:hAnsi="Times New Roman" w:cs="Times New Roman"/>
          <w:sz w:val="24"/>
          <w:szCs w:val="24"/>
        </w:rPr>
        <w:t>carregava</w:t>
      </w:r>
      <w:r w:rsidRPr="00DB025E">
        <w:rPr>
          <w:rFonts w:ascii="Times New Roman" w:hAnsi="Times New Roman" w:cs="Times New Roman"/>
          <w:sz w:val="24"/>
          <w:szCs w:val="24"/>
        </w:rPr>
        <w:t>. Itaipu, a megausina foi, até 2012, a maior usina hidrelétrica do mundo, superada somente pelo gigantismo chinês. Ao mesmo tempo em que Itaipu dava um importante incremento à potência de geração elétrica brasileira, também era peça fundamental para o avanço da interligação das regiões eletroenergéticas do país. Suas linhas de transmissão reforçavam a interconexão Centro-Sul, em andamento desde o início da década de 1970.</w:t>
      </w:r>
    </w:p>
    <w:p w:rsidR="00585111" w:rsidRPr="00A90FD1" w:rsidRDefault="00DB025E"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t xml:space="preserve">Nos anos 1980 </w:t>
      </w:r>
      <w:r w:rsidR="00D90BD8">
        <w:rPr>
          <w:rFonts w:ascii="Times New Roman" w:hAnsi="Times New Roman" w:cs="Times New Roman"/>
          <w:sz w:val="24"/>
          <w:szCs w:val="24"/>
        </w:rPr>
        <w:t>as condições do</w:t>
      </w:r>
      <w:r w:rsidRPr="00DB025E">
        <w:rPr>
          <w:rFonts w:ascii="Times New Roman" w:hAnsi="Times New Roman" w:cs="Times New Roman"/>
          <w:sz w:val="24"/>
          <w:szCs w:val="24"/>
        </w:rPr>
        <w:t xml:space="preserve"> setor elétrico brasileiro </w:t>
      </w:r>
      <w:r w:rsidR="00D90BD8">
        <w:rPr>
          <w:rFonts w:ascii="Times New Roman" w:hAnsi="Times New Roman" w:cs="Times New Roman"/>
          <w:sz w:val="24"/>
          <w:szCs w:val="24"/>
        </w:rPr>
        <w:t xml:space="preserve">mudaram, em linha com </w:t>
      </w:r>
      <w:r w:rsidRPr="00DB025E">
        <w:rPr>
          <w:rFonts w:ascii="Times New Roman" w:hAnsi="Times New Roman" w:cs="Times New Roman"/>
          <w:sz w:val="24"/>
          <w:szCs w:val="24"/>
        </w:rPr>
        <w:t xml:space="preserve">as dificuldades por que passava a economia nacional. Lentidão das obras, dificuldades no financiamento passaram a ser notícias recorrentes. </w:t>
      </w:r>
      <w:r w:rsidR="00585111">
        <w:rPr>
          <w:rFonts w:ascii="Times New Roman" w:hAnsi="Times New Roman" w:cs="Times New Roman"/>
          <w:sz w:val="24"/>
          <w:szCs w:val="24"/>
        </w:rPr>
        <w:t>O</w:t>
      </w:r>
      <w:r w:rsidR="00585111" w:rsidRPr="00A90FD1">
        <w:rPr>
          <w:rFonts w:ascii="Times New Roman" w:hAnsi="Times New Roman" w:cs="Times New Roman"/>
          <w:sz w:val="24"/>
          <w:szCs w:val="24"/>
        </w:rPr>
        <w:t xml:space="preserve"> farto financiamento externo, pilar da expansão do setor elétrico brasileiro ao lado do IUEE e dos recursos próprios das estatais estaduais, </w:t>
      </w:r>
      <w:r w:rsidR="00585111">
        <w:rPr>
          <w:rFonts w:ascii="Times New Roman" w:hAnsi="Times New Roman" w:cs="Times New Roman"/>
          <w:sz w:val="24"/>
          <w:szCs w:val="24"/>
        </w:rPr>
        <w:t xml:space="preserve">havia sido </w:t>
      </w:r>
      <w:r w:rsidR="00585111" w:rsidRPr="00A90FD1">
        <w:rPr>
          <w:rFonts w:ascii="Times New Roman" w:hAnsi="Times New Roman" w:cs="Times New Roman"/>
          <w:sz w:val="24"/>
          <w:szCs w:val="24"/>
        </w:rPr>
        <w:t>abruptamente restringido. As condições econômicas internas e o cenário externo eram desfavoráveis e emergiam forças políticas contrárias ao esforço da industrialização. Na primeira metade da “década perdida”, vários empreendimentos do setor elétrico entraram em operação e a interligação das regiões eletroenergéticas avançou. Com alguns arranjos, outros empreendimentos do setor também iniciaram suas obras, marcadas por paralisações e letargia, especialmente após a moratória da dívida externa.</w:t>
      </w:r>
    </w:p>
    <w:p w:rsidR="001A09F7" w:rsidRPr="00A90FD1" w:rsidRDefault="00585111" w:rsidP="00C30F50">
      <w:pPr>
        <w:spacing w:line="360" w:lineRule="auto"/>
        <w:ind w:firstLine="567"/>
        <w:jc w:val="both"/>
        <w:rPr>
          <w:rFonts w:ascii="Times New Roman" w:hAnsi="Times New Roman" w:cs="Times New Roman"/>
          <w:sz w:val="24"/>
          <w:szCs w:val="24"/>
        </w:rPr>
      </w:pPr>
      <w:r w:rsidRPr="00DB025E">
        <w:rPr>
          <w:rFonts w:ascii="Times New Roman" w:hAnsi="Times New Roman" w:cs="Times New Roman"/>
          <w:sz w:val="24"/>
          <w:szCs w:val="24"/>
        </w:rPr>
        <w:lastRenderedPageBreak/>
        <w:t>Na</w:t>
      </w:r>
      <w:r>
        <w:rPr>
          <w:rFonts w:ascii="Times New Roman" w:hAnsi="Times New Roman" w:cs="Times New Roman"/>
          <w:sz w:val="24"/>
          <w:szCs w:val="24"/>
        </w:rPr>
        <w:t xml:space="preserve"> década de 1990 o Brasil embarcou</w:t>
      </w:r>
      <w:r w:rsidRPr="00DB025E">
        <w:rPr>
          <w:rFonts w:ascii="Times New Roman" w:hAnsi="Times New Roman" w:cs="Times New Roman"/>
          <w:sz w:val="24"/>
          <w:szCs w:val="24"/>
        </w:rPr>
        <w:t xml:space="preserve"> em um forte movimento de privatização do setor elétrico, com efeitos nefastos sobre a oferta energética. </w:t>
      </w:r>
      <w:r>
        <w:rPr>
          <w:rFonts w:ascii="Times New Roman" w:hAnsi="Times New Roman" w:cs="Times New Roman"/>
          <w:sz w:val="24"/>
          <w:szCs w:val="24"/>
        </w:rPr>
        <w:t>A</w:t>
      </w:r>
      <w:r w:rsidR="001A09F7" w:rsidRPr="00A90FD1">
        <w:rPr>
          <w:rFonts w:ascii="Times New Roman" w:hAnsi="Times New Roman" w:cs="Times New Roman"/>
          <w:sz w:val="24"/>
          <w:szCs w:val="24"/>
        </w:rPr>
        <w:t xml:space="preserve"> negligência com o setor elétrico e com o desenvolvimento econômico do país se tornava crônica. O governo confiava no mercado para assumir o controle do setor. Mas, após intensa privatização das empresas do setor elétrico, entre outros, ficou claro que isso não era empírico, apenas retórico. Os capitalistas que arremataram as empresas privatizadas, com grande participação de capital estrangeiro, não pretendiam se arriscar em novas inversões, enquanto pudessem somente disfrutar dos lucros desse espólio. O Brasil estava praticamente quebrado e engessado em termos de política econômica. O rentismo usufruía de condição excepcional,</w:t>
      </w:r>
      <w:r w:rsidR="0062317B">
        <w:rPr>
          <w:rFonts w:ascii="Times New Roman" w:hAnsi="Times New Roman" w:cs="Times New Roman"/>
          <w:sz w:val="24"/>
          <w:szCs w:val="24"/>
        </w:rPr>
        <w:t xml:space="preserve"> </w:t>
      </w:r>
      <w:r w:rsidR="001A09F7" w:rsidRPr="00A90FD1">
        <w:rPr>
          <w:rFonts w:ascii="Times New Roman" w:hAnsi="Times New Roman" w:cs="Times New Roman"/>
          <w:sz w:val="24"/>
          <w:szCs w:val="24"/>
        </w:rPr>
        <w:t>excluído de qualquer ônus para saneamento das contas públicas. O governo brasileiro se comprometia em abrir, cada vez mais, novas frentes para a acumulação de capital.</w:t>
      </w:r>
    </w:p>
    <w:p w:rsidR="001A09F7" w:rsidRDefault="001A09F7" w:rsidP="00C30F50">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O baixo investimento, a privatização e o abandono do planejamento não poderiam levar a outro caminho que não fosse a crise elétrica. Bastou um pequeno surto de crescimento econômico, provocado pela desvalorização cambial de 1999, para que o suprimento de energia elétrica fosse insuficiente para fazer frente a demanda. Na iminência do colapso, o governo FHC correu para impedir o desabastecimento, acelerando obras em andamento e optando, emergencialmente, pela termeletricidade. Em escala nacional o acréscimo foi adinâmico, pois foi pontual e não afastou o risco de racionamento.</w:t>
      </w:r>
    </w:p>
    <w:p w:rsidR="00F37056" w:rsidRDefault="00F37056" w:rsidP="00A90FD1">
      <w:pPr>
        <w:spacing w:line="360" w:lineRule="auto"/>
        <w:jc w:val="both"/>
        <w:rPr>
          <w:rFonts w:ascii="Times New Roman" w:hAnsi="Times New Roman" w:cs="Times New Roman"/>
          <w:sz w:val="24"/>
          <w:szCs w:val="24"/>
        </w:rPr>
      </w:pPr>
    </w:p>
    <w:p w:rsidR="00F37056" w:rsidRPr="00F37056" w:rsidRDefault="00F37056" w:rsidP="00F37056">
      <w:pPr>
        <w:spacing w:line="360" w:lineRule="auto"/>
        <w:jc w:val="both"/>
        <w:rPr>
          <w:rFonts w:ascii="Times New Roman" w:hAnsi="Times New Roman" w:cs="Times New Roman"/>
          <w:sz w:val="24"/>
          <w:szCs w:val="24"/>
        </w:rPr>
      </w:pPr>
      <w:bookmarkStart w:id="11" w:name="_Ref20098598"/>
      <w:bookmarkStart w:id="12" w:name="_Toc20692570"/>
      <w:r w:rsidRPr="00F37056">
        <w:rPr>
          <w:rFonts w:ascii="Times New Roman" w:hAnsi="Times New Roman" w:cs="Times New Roman"/>
          <w:sz w:val="24"/>
          <w:szCs w:val="24"/>
        </w:rPr>
        <w:t xml:space="preserve">Tabela </w:t>
      </w:r>
      <w:r w:rsidR="00400632" w:rsidRPr="00F37056">
        <w:rPr>
          <w:rFonts w:ascii="Times New Roman" w:hAnsi="Times New Roman" w:cs="Times New Roman"/>
          <w:sz w:val="24"/>
          <w:szCs w:val="24"/>
        </w:rPr>
        <w:fldChar w:fldCharType="begin"/>
      </w:r>
      <w:r w:rsidRPr="00F37056">
        <w:rPr>
          <w:rFonts w:ascii="Times New Roman" w:hAnsi="Times New Roman" w:cs="Times New Roman"/>
          <w:sz w:val="24"/>
          <w:szCs w:val="24"/>
        </w:rPr>
        <w:instrText xml:space="preserve"> SEQ Tabela \* ARABIC </w:instrText>
      </w:r>
      <w:r w:rsidR="00400632" w:rsidRPr="00F37056">
        <w:rPr>
          <w:rFonts w:ascii="Times New Roman" w:hAnsi="Times New Roman" w:cs="Times New Roman"/>
          <w:sz w:val="24"/>
          <w:szCs w:val="24"/>
        </w:rPr>
        <w:fldChar w:fldCharType="separate"/>
      </w:r>
      <w:r>
        <w:rPr>
          <w:rFonts w:ascii="Times New Roman" w:hAnsi="Times New Roman" w:cs="Times New Roman"/>
          <w:noProof/>
          <w:sz w:val="24"/>
          <w:szCs w:val="24"/>
        </w:rPr>
        <w:t>1</w:t>
      </w:r>
      <w:r w:rsidR="00400632" w:rsidRPr="00F37056">
        <w:rPr>
          <w:rFonts w:ascii="Times New Roman" w:hAnsi="Times New Roman" w:cs="Times New Roman"/>
          <w:sz w:val="24"/>
          <w:szCs w:val="24"/>
        </w:rPr>
        <w:fldChar w:fldCharType="end"/>
      </w:r>
      <w:bookmarkEnd w:id="11"/>
      <w:r w:rsidRPr="00F37056">
        <w:rPr>
          <w:rFonts w:ascii="Times New Roman" w:hAnsi="Times New Roman" w:cs="Times New Roman"/>
          <w:sz w:val="24"/>
          <w:szCs w:val="24"/>
        </w:rPr>
        <w:t>: Potência instalada e produção de energia elétrica no Brasil, 1980-2017</w:t>
      </w:r>
      <w:bookmarkEnd w:id="12"/>
    </w:p>
    <w:tbl>
      <w:tblPr>
        <w:tblW w:w="5000" w:type="pct"/>
        <w:tblBorders>
          <w:top w:val="single" w:sz="8" w:space="0" w:color="000000"/>
          <w:bottom w:val="single" w:sz="8" w:space="0" w:color="000000"/>
        </w:tblBorders>
        <w:tblLook w:val="04A0"/>
      </w:tblPr>
      <w:tblGrid>
        <w:gridCol w:w="862"/>
        <w:gridCol w:w="1005"/>
        <w:gridCol w:w="1142"/>
        <w:gridCol w:w="1005"/>
        <w:gridCol w:w="1212"/>
        <w:gridCol w:w="1142"/>
        <w:gridCol w:w="1142"/>
        <w:gridCol w:w="1210"/>
      </w:tblGrid>
      <w:tr w:rsidR="00F37056" w:rsidRPr="00F37056" w:rsidTr="00435460">
        <w:trPr>
          <w:trHeight w:val="20"/>
        </w:trPr>
        <w:tc>
          <w:tcPr>
            <w:tcW w:w="494" w:type="pct"/>
            <w:vMerge w:val="restart"/>
            <w:tcBorders>
              <w:top w:val="single" w:sz="8" w:space="0" w:color="000000"/>
              <w:left w:val="nil"/>
              <w:bottom w:val="single" w:sz="8" w:space="0" w:color="000000"/>
              <w:right w:val="single" w:sz="4" w:space="0" w:color="auto"/>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ANO</w:t>
            </w:r>
          </w:p>
        </w:tc>
        <w:tc>
          <w:tcPr>
            <w:tcW w:w="2502" w:type="pct"/>
            <w:gridSpan w:val="4"/>
            <w:tcBorders>
              <w:top w:val="single" w:sz="8" w:space="0" w:color="000000"/>
              <w:left w:val="single" w:sz="4" w:space="0" w:color="auto"/>
              <w:bottom w:val="single" w:sz="8" w:space="0" w:color="000000"/>
              <w:right w:val="single" w:sz="4" w:space="0" w:color="auto"/>
            </w:tcBorders>
            <w:shd w:val="clear" w:color="auto" w:fill="auto"/>
            <w:vAlign w:val="center"/>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Potência instalada (MW)</w:t>
            </w:r>
          </w:p>
        </w:tc>
        <w:tc>
          <w:tcPr>
            <w:tcW w:w="2003" w:type="pct"/>
            <w:gridSpan w:val="3"/>
            <w:tcBorders>
              <w:top w:val="single" w:sz="8" w:space="0" w:color="000000"/>
              <w:left w:val="single" w:sz="4" w:space="0" w:color="auto"/>
              <w:bottom w:val="single" w:sz="8" w:space="0" w:color="000000"/>
              <w:right w:val="nil"/>
            </w:tcBorders>
            <w:shd w:val="clear" w:color="auto" w:fill="auto"/>
            <w:vAlign w:val="center"/>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Produção bruta (GWh)</w:t>
            </w:r>
          </w:p>
        </w:tc>
      </w:tr>
      <w:tr w:rsidR="00F37056" w:rsidRPr="00F37056" w:rsidTr="00435460">
        <w:trPr>
          <w:trHeight w:val="20"/>
        </w:trPr>
        <w:tc>
          <w:tcPr>
            <w:tcW w:w="494" w:type="pct"/>
            <w:vMerge/>
            <w:tcBorders>
              <w:top w:val="single" w:sz="8" w:space="0" w:color="000000"/>
              <w:left w:val="nil"/>
              <w:bottom w:val="single" w:sz="8" w:space="0" w:color="000000"/>
              <w:right w:val="single" w:sz="4" w:space="0" w:color="auto"/>
            </w:tcBorders>
            <w:noWrap/>
            <w:hideMark/>
          </w:tcPr>
          <w:p w:rsidR="00F37056" w:rsidRPr="00F37056" w:rsidRDefault="00F37056" w:rsidP="00F37056">
            <w:pPr>
              <w:spacing w:line="240" w:lineRule="auto"/>
              <w:jc w:val="both"/>
              <w:rPr>
                <w:rFonts w:ascii="Times New Roman" w:hAnsi="Times New Roman" w:cs="Times New Roman"/>
                <w:sz w:val="20"/>
                <w:szCs w:val="20"/>
              </w:rPr>
            </w:pPr>
          </w:p>
        </w:tc>
        <w:tc>
          <w:tcPr>
            <w:tcW w:w="2502" w:type="pct"/>
            <w:gridSpan w:val="4"/>
            <w:tcBorders>
              <w:top w:val="single" w:sz="8" w:space="0" w:color="000000"/>
              <w:left w:val="single" w:sz="4" w:space="0" w:color="auto"/>
              <w:bottom w:val="single" w:sz="4" w:space="0" w:color="auto"/>
              <w:right w:val="single" w:sz="4" w:space="0" w:color="auto"/>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Brasil</w:t>
            </w:r>
          </w:p>
        </w:tc>
        <w:tc>
          <w:tcPr>
            <w:tcW w:w="2003" w:type="pct"/>
            <w:gridSpan w:val="3"/>
            <w:tcBorders>
              <w:top w:val="single" w:sz="8" w:space="0" w:color="000000"/>
              <w:left w:val="single" w:sz="4" w:space="0" w:color="auto"/>
              <w:bottom w:val="single" w:sz="4" w:space="0" w:color="auto"/>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Brasil (7)</w:t>
            </w:r>
          </w:p>
        </w:tc>
      </w:tr>
      <w:tr w:rsidR="00F37056" w:rsidRPr="00F37056" w:rsidTr="00435460">
        <w:trPr>
          <w:trHeight w:val="20"/>
        </w:trPr>
        <w:tc>
          <w:tcPr>
            <w:tcW w:w="494" w:type="pct"/>
            <w:vMerge/>
            <w:tcBorders>
              <w:top w:val="single" w:sz="8" w:space="0" w:color="000000"/>
              <w:left w:val="nil"/>
              <w:bottom w:val="single" w:sz="8" w:space="0" w:color="000000"/>
              <w:right w:val="single" w:sz="4" w:space="0" w:color="auto"/>
            </w:tcBorders>
            <w:noWrap/>
            <w:hideMark/>
          </w:tcPr>
          <w:p w:rsidR="00F37056" w:rsidRPr="00F37056" w:rsidRDefault="00F37056" w:rsidP="00F37056">
            <w:pPr>
              <w:spacing w:line="240" w:lineRule="auto"/>
              <w:jc w:val="both"/>
              <w:rPr>
                <w:rFonts w:ascii="Times New Roman" w:hAnsi="Times New Roman" w:cs="Times New Roman"/>
                <w:sz w:val="20"/>
                <w:szCs w:val="20"/>
              </w:rPr>
            </w:pPr>
          </w:p>
        </w:tc>
        <w:tc>
          <w:tcPr>
            <w:tcW w:w="576" w:type="pct"/>
            <w:tcBorders>
              <w:top w:val="single" w:sz="4" w:space="0" w:color="auto"/>
              <w:left w:val="single" w:sz="4" w:space="0" w:color="auto"/>
              <w:bottom w:val="single" w:sz="4" w:space="0" w:color="auto"/>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Termo</w:t>
            </w:r>
          </w:p>
        </w:tc>
        <w:tc>
          <w:tcPr>
            <w:tcW w:w="655" w:type="pct"/>
            <w:tcBorders>
              <w:top w:val="single" w:sz="4" w:space="0" w:color="auto"/>
              <w:bottom w:val="single" w:sz="4" w:space="0" w:color="auto"/>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Hidro</w:t>
            </w:r>
          </w:p>
        </w:tc>
        <w:tc>
          <w:tcPr>
            <w:tcW w:w="576" w:type="pct"/>
            <w:tcBorders>
              <w:top w:val="single" w:sz="4" w:space="0" w:color="auto"/>
              <w:bottom w:val="single" w:sz="4" w:space="0" w:color="auto"/>
            </w:tcBorders>
            <w:shd w:val="clear" w:color="auto" w:fill="auto"/>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Outras</w:t>
            </w:r>
          </w:p>
        </w:tc>
        <w:tc>
          <w:tcPr>
            <w:tcW w:w="695" w:type="pct"/>
            <w:tcBorders>
              <w:top w:val="single" w:sz="4" w:space="0" w:color="auto"/>
              <w:bottom w:val="single" w:sz="4" w:space="0" w:color="auto"/>
              <w:right w:val="single" w:sz="4" w:space="0" w:color="auto"/>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TOTAL</w:t>
            </w:r>
          </w:p>
        </w:tc>
        <w:tc>
          <w:tcPr>
            <w:tcW w:w="655" w:type="pct"/>
            <w:tcBorders>
              <w:top w:val="single" w:sz="4" w:space="0" w:color="auto"/>
              <w:left w:val="single" w:sz="4" w:space="0" w:color="auto"/>
              <w:bottom w:val="single" w:sz="4" w:space="0" w:color="auto"/>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Termo</w:t>
            </w:r>
          </w:p>
        </w:tc>
        <w:tc>
          <w:tcPr>
            <w:tcW w:w="655" w:type="pct"/>
            <w:tcBorders>
              <w:top w:val="single" w:sz="4" w:space="0" w:color="auto"/>
              <w:bottom w:val="single" w:sz="4" w:space="0" w:color="auto"/>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Hidro</w:t>
            </w:r>
          </w:p>
        </w:tc>
        <w:tc>
          <w:tcPr>
            <w:tcW w:w="694" w:type="pct"/>
            <w:tcBorders>
              <w:top w:val="single" w:sz="4" w:space="0" w:color="auto"/>
              <w:bottom w:val="single" w:sz="4" w:space="0" w:color="auto"/>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TOTAL</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1980</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5.823</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27.649</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33.472</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10.476</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128.907</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139.383</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1981</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6.096</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31.173</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37.269</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11.421</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130.765</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142.186</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1982</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6.190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33.156</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39.346</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10.957</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141.132</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152.089</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1983</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6.188</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34.178</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40.366</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11.018</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151.475</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162.493</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1984</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6.173</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34.923</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41.096</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12.795</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166.593</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179.388</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1985</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6.373</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37.077</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44.107</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15.307</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178.375</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193.682</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1986</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6.510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37.786</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44.953</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19.710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182.419</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202.129</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1987</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6.575</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40.329</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47.561</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17.731</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185.600</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203.331</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1988</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6.690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42.228</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49.575</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15.860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199.093</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214.953</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1989</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6.672</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44.796</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52.125</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17.049</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204.690</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221.739</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1990</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6.835</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45.558</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53.050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16.112</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206.708</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222.820</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1991</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6.868</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46.616</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54.141</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16.594</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217.782</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234.376</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1992</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6.684</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47.709</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55.050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18.419</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223.343</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241.762</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1993</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6.975</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48.591</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657</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56.223</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16.938</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235.065</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252.003</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1994</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7.051</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49.921</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658</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57.630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17.336</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242.705</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260.041</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1995</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7.097</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51.367</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658</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59.122</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21.696</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253.905</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275.601</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1996</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7.025</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53.119</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658</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60.802</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25.510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265.736</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291.248</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lastRenderedPageBreak/>
              <w:t>1997</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7.426</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54.889</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658</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62.973</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29.008</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278.973</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307.985</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1998</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7.788</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56.759</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663</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65.210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30.279</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291.469</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321.754</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1999</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8.507</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58.997</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676</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68.180</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41.726</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293.000</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334.728</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2000</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10.623</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61.063</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1.985</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73.671</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44.518</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304.403</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348.922</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2001</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10.481</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62.409</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1.987</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74.877</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60.643</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267.876</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328.554</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2002</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13.813</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64.474</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2.029</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80.315</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59.610</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286.207</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345.878</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2003</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16.130</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67.698</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2.029</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85.857</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58.747</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305.738</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364.547</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2004</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19.556</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69.088</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2.036</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90.679</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66.682</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320.925</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387.668</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2005</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19.770</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71.060</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2.036</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92.865</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65.600</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337.592</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403.285</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2006</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20.372</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73.678</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2.244</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96.295</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70.606</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348.945</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419.788</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2007</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21.229</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76.869</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2.254</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100.352</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71.162</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374.165</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445.990</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2008</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22.999</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77.545</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2.405</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102.949</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93.601</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369.704</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464.489</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2009</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25.350</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78.610</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2.609</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106.569</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75.200</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391.145</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467.583</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2010</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29.689</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80.703</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2.935</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113.327</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112.554</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403.451</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518.183</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2011</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31.243</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82.459</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3.433</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117.135</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103.467</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428.504</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534.677</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2012</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32.778</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84.294</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3.901</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120.973</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137.211</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415.508</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557.773</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2013</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36.528</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86.018</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4.197</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126.743</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179.686</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391.148</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577.420</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2014</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37.827</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89.193</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6.893</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133.913</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216.954</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373.588</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602.773</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2015</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39.563</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91.650</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9.644</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140.858</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199.648</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359.887</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581.228</w:t>
            </w:r>
          </w:p>
        </w:tc>
      </w:tr>
      <w:tr w:rsidR="00F37056" w:rsidRPr="00F37056" w:rsidTr="00435460">
        <w:trPr>
          <w:trHeight w:val="20"/>
        </w:trPr>
        <w:tc>
          <w:tcPr>
            <w:tcW w:w="4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2016</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41.275</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96.925</w:t>
            </w:r>
          </w:p>
        </w:tc>
        <w:tc>
          <w:tcPr>
            <w:tcW w:w="576"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12.138</w:t>
            </w:r>
          </w:p>
        </w:tc>
        <w:tc>
          <w:tcPr>
            <w:tcW w:w="69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150.338</w:t>
            </w:r>
          </w:p>
        </w:tc>
        <w:tc>
          <w:tcPr>
            <w:tcW w:w="655"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164.247</w:t>
            </w:r>
          </w:p>
        </w:tc>
        <w:tc>
          <w:tcPr>
            <w:tcW w:w="655" w:type="pct"/>
            <w:tcBorders>
              <w:left w:val="nil"/>
              <w:right w:val="nil"/>
            </w:tcBorders>
            <w:shd w:val="clear" w:color="auto" w:fill="auto"/>
            <w:noWrap/>
            <w:vAlign w:val="center"/>
            <w:hideMark/>
          </w:tcPr>
          <w:p w:rsidR="00F37056" w:rsidRPr="00F37056" w:rsidRDefault="0084137E" w:rsidP="00F37056">
            <w:pPr>
              <w:spacing w:line="240" w:lineRule="auto"/>
              <w:jc w:val="both"/>
              <w:rPr>
                <w:rFonts w:ascii="Times New Roman" w:hAnsi="Times New Roman" w:cs="Times New Roman"/>
                <w:sz w:val="20"/>
                <w:szCs w:val="20"/>
              </w:rPr>
            </w:pPr>
            <w:r w:rsidRPr="0084137E">
              <w:rPr>
                <w:rFonts w:ascii="Times New Roman" w:hAnsi="Times New Roman" w:cs="Times New Roman"/>
                <w:sz w:val="20"/>
                <w:szCs w:val="20"/>
              </w:rPr>
              <w:t>380.911</w:t>
            </w:r>
          </w:p>
        </w:tc>
        <w:tc>
          <w:tcPr>
            <w:tcW w:w="694" w:type="pct"/>
            <w:tcBorders>
              <w:left w:val="nil"/>
              <w:right w:val="nil"/>
            </w:tcBorders>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578.898</w:t>
            </w:r>
          </w:p>
        </w:tc>
      </w:tr>
      <w:tr w:rsidR="00F37056" w:rsidRPr="00F37056" w:rsidTr="00435460">
        <w:trPr>
          <w:trHeight w:val="20"/>
        </w:trPr>
        <w:tc>
          <w:tcPr>
            <w:tcW w:w="4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2017</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41.628</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100.275</w:t>
            </w:r>
          </w:p>
        </w:tc>
        <w:tc>
          <w:tcPr>
            <w:tcW w:w="576"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15.209</w:t>
            </w:r>
          </w:p>
        </w:tc>
        <w:tc>
          <w:tcPr>
            <w:tcW w:w="69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157112</w:t>
            </w:r>
          </w:p>
        </w:tc>
        <w:tc>
          <w:tcPr>
            <w:tcW w:w="655"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sz w:val="20"/>
                <w:szCs w:val="20"/>
              </w:rPr>
            </w:pPr>
            <w:r w:rsidRPr="00F37056">
              <w:rPr>
                <w:rFonts w:ascii="Times New Roman" w:hAnsi="Times New Roman" w:cs="Times New Roman"/>
                <w:sz w:val="20"/>
                <w:szCs w:val="20"/>
              </w:rPr>
              <w:t>173.685</w:t>
            </w:r>
          </w:p>
        </w:tc>
        <w:tc>
          <w:tcPr>
            <w:tcW w:w="655" w:type="pct"/>
            <w:shd w:val="clear" w:color="auto" w:fill="auto"/>
            <w:noWrap/>
            <w:vAlign w:val="center"/>
            <w:hideMark/>
          </w:tcPr>
          <w:p w:rsidR="00F37056" w:rsidRPr="00F37056" w:rsidRDefault="0084137E" w:rsidP="00F37056">
            <w:pPr>
              <w:spacing w:line="240" w:lineRule="auto"/>
              <w:jc w:val="both"/>
              <w:rPr>
                <w:rFonts w:ascii="Times New Roman" w:hAnsi="Times New Roman" w:cs="Times New Roman"/>
                <w:sz w:val="20"/>
                <w:szCs w:val="20"/>
              </w:rPr>
            </w:pPr>
            <w:r w:rsidRPr="0084137E">
              <w:rPr>
                <w:rFonts w:ascii="Times New Roman" w:hAnsi="Times New Roman" w:cs="Times New Roman"/>
                <w:sz w:val="20"/>
                <w:szCs w:val="20"/>
              </w:rPr>
              <w:t>370.906</w:t>
            </w:r>
          </w:p>
        </w:tc>
        <w:tc>
          <w:tcPr>
            <w:tcW w:w="694" w:type="pct"/>
            <w:shd w:val="clear" w:color="auto" w:fill="auto"/>
            <w:noWrap/>
            <w:vAlign w:val="center"/>
            <w:hideMark/>
          </w:tcPr>
          <w:p w:rsidR="00F37056" w:rsidRPr="00F37056" w:rsidRDefault="00F37056" w:rsidP="00F37056">
            <w:pPr>
              <w:spacing w:line="240" w:lineRule="auto"/>
              <w:jc w:val="both"/>
              <w:rPr>
                <w:rFonts w:ascii="Times New Roman" w:hAnsi="Times New Roman" w:cs="Times New Roman"/>
                <w:b/>
                <w:bCs/>
                <w:sz w:val="20"/>
                <w:szCs w:val="20"/>
              </w:rPr>
            </w:pPr>
            <w:r w:rsidRPr="00F37056">
              <w:rPr>
                <w:rFonts w:ascii="Times New Roman" w:hAnsi="Times New Roman" w:cs="Times New Roman"/>
                <w:b/>
                <w:bCs/>
                <w:sz w:val="20"/>
                <w:szCs w:val="20"/>
              </w:rPr>
              <w:t>587.962</w:t>
            </w:r>
          </w:p>
        </w:tc>
      </w:tr>
      <w:tr w:rsidR="00435460" w:rsidRPr="00F37056" w:rsidTr="00511D7A">
        <w:trPr>
          <w:trHeight w:val="20"/>
        </w:trPr>
        <w:tc>
          <w:tcPr>
            <w:tcW w:w="494" w:type="pct"/>
            <w:shd w:val="clear" w:color="auto" w:fill="auto"/>
            <w:noWrap/>
            <w:vAlign w:val="center"/>
          </w:tcPr>
          <w:p w:rsidR="00435460" w:rsidRPr="00F37056" w:rsidRDefault="00435460" w:rsidP="00F37056">
            <w:pPr>
              <w:spacing w:line="240" w:lineRule="auto"/>
              <w:jc w:val="both"/>
              <w:rPr>
                <w:rFonts w:ascii="Times New Roman" w:hAnsi="Times New Roman" w:cs="Times New Roman"/>
                <w:b/>
                <w:bCs/>
                <w:sz w:val="20"/>
                <w:szCs w:val="20"/>
              </w:rPr>
            </w:pPr>
            <w:bookmarkStart w:id="13" w:name="_Hlk100935553"/>
            <w:r>
              <w:rPr>
                <w:rFonts w:ascii="Times New Roman" w:hAnsi="Times New Roman" w:cs="Times New Roman"/>
                <w:b/>
                <w:bCs/>
                <w:sz w:val="20"/>
                <w:szCs w:val="20"/>
              </w:rPr>
              <w:t>2018</w:t>
            </w:r>
          </w:p>
        </w:tc>
        <w:tc>
          <w:tcPr>
            <w:tcW w:w="576" w:type="pct"/>
            <w:shd w:val="clear" w:color="auto" w:fill="auto"/>
            <w:noWrap/>
          </w:tcPr>
          <w:p w:rsidR="00435460" w:rsidRPr="00435460" w:rsidRDefault="00435460" w:rsidP="00435460">
            <w:pPr>
              <w:spacing w:line="240" w:lineRule="auto"/>
              <w:jc w:val="both"/>
              <w:rPr>
                <w:rFonts w:ascii="Times New Roman" w:hAnsi="Times New Roman" w:cs="Times New Roman"/>
                <w:sz w:val="20"/>
                <w:szCs w:val="20"/>
              </w:rPr>
            </w:pPr>
            <w:r w:rsidRPr="00435460">
              <w:rPr>
                <w:rFonts w:ascii="Times New Roman" w:hAnsi="Times New Roman" w:cs="Times New Roman"/>
                <w:sz w:val="20"/>
                <w:szCs w:val="20"/>
              </w:rPr>
              <w:t>40.523</w:t>
            </w:r>
          </w:p>
        </w:tc>
        <w:tc>
          <w:tcPr>
            <w:tcW w:w="655" w:type="pct"/>
            <w:shd w:val="clear" w:color="auto" w:fill="auto"/>
            <w:noWrap/>
            <w:vAlign w:val="center"/>
          </w:tcPr>
          <w:p w:rsidR="00435460" w:rsidRPr="00F37056" w:rsidRDefault="00435460" w:rsidP="00F37056">
            <w:pPr>
              <w:spacing w:line="240" w:lineRule="auto"/>
              <w:jc w:val="both"/>
              <w:rPr>
                <w:rFonts w:ascii="Times New Roman" w:hAnsi="Times New Roman" w:cs="Times New Roman"/>
                <w:sz w:val="20"/>
                <w:szCs w:val="20"/>
              </w:rPr>
            </w:pPr>
            <w:r w:rsidRPr="00435460">
              <w:rPr>
                <w:rFonts w:ascii="Times New Roman" w:hAnsi="Times New Roman" w:cs="Times New Roman"/>
                <w:sz w:val="20"/>
                <w:szCs w:val="20"/>
              </w:rPr>
              <w:t>104.139</w:t>
            </w:r>
          </w:p>
        </w:tc>
        <w:tc>
          <w:tcPr>
            <w:tcW w:w="576" w:type="pct"/>
            <w:shd w:val="clear" w:color="auto" w:fill="auto"/>
            <w:noWrap/>
          </w:tcPr>
          <w:p w:rsidR="00435460" w:rsidRPr="00435460" w:rsidRDefault="00435460" w:rsidP="00435460">
            <w:pPr>
              <w:spacing w:line="240" w:lineRule="auto"/>
              <w:jc w:val="both"/>
              <w:rPr>
                <w:rFonts w:ascii="Times New Roman" w:hAnsi="Times New Roman" w:cs="Times New Roman"/>
                <w:sz w:val="20"/>
                <w:szCs w:val="20"/>
              </w:rPr>
            </w:pPr>
          </w:p>
        </w:tc>
        <w:tc>
          <w:tcPr>
            <w:tcW w:w="695" w:type="pct"/>
            <w:shd w:val="clear" w:color="auto" w:fill="auto"/>
            <w:noWrap/>
            <w:vAlign w:val="center"/>
          </w:tcPr>
          <w:p w:rsidR="00435460" w:rsidRPr="00F37056" w:rsidRDefault="007609AD" w:rsidP="00F37056">
            <w:pPr>
              <w:spacing w:line="240" w:lineRule="auto"/>
              <w:jc w:val="both"/>
              <w:rPr>
                <w:rFonts w:ascii="Times New Roman" w:hAnsi="Times New Roman" w:cs="Times New Roman"/>
                <w:b/>
                <w:bCs/>
                <w:sz w:val="20"/>
                <w:szCs w:val="20"/>
              </w:rPr>
            </w:pPr>
            <w:r w:rsidRPr="007609AD">
              <w:rPr>
                <w:rFonts w:ascii="Times New Roman" w:hAnsi="Times New Roman" w:cs="Times New Roman"/>
                <w:b/>
                <w:bCs/>
                <w:sz w:val="20"/>
                <w:szCs w:val="20"/>
              </w:rPr>
              <w:t>164.503</w:t>
            </w:r>
          </w:p>
        </w:tc>
        <w:tc>
          <w:tcPr>
            <w:tcW w:w="655" w:type="pct"/>
            <w:shd w:val="clear" w:color="auto" w:fill="auto"/>
            <w:noWrap/>
            <w:vAlign w:val="center"/>
          </w:tcPr>
          <w:p w:rsidR="00435460" w:rsidRPr="00F37056" w:rsidRDefault="00435460" w:rsidP="00F37056">
            <w:pPr>
              <w:spacing w:line="240" w:lineRule="auto"/>
              <w:jc w:val="both"/>
              <w:rPr>
                <w:rFonts w:ascii="Times New Roman" w:hAnsi="Times New Roman" w:cs="Times New Roman"/>
                <w:sz w:val="20"/>
                <w:szCs w:val="20"/>
              </w:rPr>
            </w:pPr>
          </w:p>
        </w:tc>
        <w:tc>
          <w:tcPr>
            <w:tcW w:w="655" w:type="pct"/>
            <w:shd w:val="clear" w:color="auto" w:fill="auto"/>
            <w:noWrap/>
            <w:vAlign w:val="center"/>
          </w:tcPr>
          <w:p w:rsidR="00435460" w:rsidRPr="00F37056" w:rsidRDefault="000C0160" w:rsidP="00F37056">
            <w:pPr>
              <w:spacing w:line="240" w:lineRule="auto"/>
              <w:jc w:val="both"/>
              <w:rPr>
                <w:rFonts w:ascii="Times New Roman" w:hAnsi="Times New Roman" w:cs="Times New Roman"/>
                <w:sz w:val="20"/>
                <w:szCs w:val="20"/>
              </w:rPr>
            </w:pPr>
            <w:r w:rsidRPr="000C0160">
              <w:rPr>
                <w:rFonts w:ascii="Times New Roman" w:hAnsi="Times New Roman" w:cs="Times New Roman"/>
                <w:sz w:val="20"/>
                <w:szCs w:val="20"/>
              </w:rPr>
              <w:t>388.971</w:t>
            </w:r>
          </w:p>
        </w:tc>
        <w:tc>
          <w:tcPr>
            <w:tcW w:w="694" w:type="pct"/>
            <w:shd w:val="clear" w:color="auto" w:fill="auto"/>
            <w:noWrap/>
            <w:vAlign w:val="center"/>
          </w:tcPr>
          <w:p w:rsidR="00435460" w:rsidRPr="00F37056" w:rsidRDefault="0084137E" w:rsidP="00F37056">
            <w:pPr>
              <w:spacing w:line="240" w:lineRule="auto"/>
              <w:jc w:val="both"/>
              <w:rPr>
                <w:rFonts w:ascii="Times New Roman" w:hAnsi="Times New Roman" w:cs="Times New Roman"/>
                <w:b/>
                <w:bCs/>
                <w:sz w:val="20"/>
                <w:szCs w:val="20"/>
              </w:rPr>
            </w:pPr>
            <w:r w:rsidRPr="0084137E">
              <w:rPr>
                <w:rFonts w:ascii="Times New Roman" w:hAnsi="Times New Roman" w:cs="Times New Roman"/>
                <w:b/>
                <w:bCs/>
                <w:sz w:val="20"/>
                <w:szCs w:val="20"/>
              </w:rPr>
              <w:t>601.396</w:t>
            </w:r>
          </w:p>
        </w:tc>
      </w:tr>
      <w:tr w:rsidR="00435460" w:rsidRPr="00F37056" w:rsidTr="00511D7A">
        <w:trPr>
          <w:trHeight w:val="20"/>
        </w:trPr>
        <w:tc>
          <w:tcPr>
            <w:tcW w:w="494" w:type="pct"/>
            <w:shd w:val="clear" w:color="auto" w:fill="auto"/>
            <w:noWrap/>
            <w:vAlign w:val="center"/>
          </w:tcPr>
          <w:p w:rsidR="00435460" w:rsidRPr="00F37056" w:rsidRDefault="00435460" w:rsidP="00F37056">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2019</w:t>
            </w:r>
          </w:p>
        </w:tc>
        <w:tc>
          <w:tcPr>
            <w:tcW w:w="576" w:type="pct"/>
            <w:shd w:val="clear" w:color="auto" w:fill="auto"/>
            <w:noWrap/>
          </w:tcPr>
          <w:p w:rsidR="00435460" w:rsidRPr="00435460" w:rsidRDefault="00435460" w:rsidP="00435460">
            <w:pPr>
              <w:spacing w:line="240" w:lineRule="auto"/>
              <w:jc w:val="both"/>
              <w:rPr>
                <w:rFonts w:ascii="Times New Roman" w:hAnsi="Times New Roman" w:cs="Times New Roman"/>
                <w:sz w:val="20"/>
                <w:szCs w:val="20"/>
              </w:rPr>
            </w:pPr>
            <w:r w:rsidRPr="00435460">
              <w:rPr>
                <w:rFonts w:ascii="Times New Roman" w:hAnsi="Times New Roman" w:cs="Times New Roman"/>
                <w:sz w:val="20"/>
                <w:szCs w:val="20"/>
              </w:rPr>
              <w:t>41.219</w:t>
            </w:r>
          </w:p>
        </w:tc>
        <w:tc>
          <w:tcPr>
            <w:tcW w:w="655" w:type="pct"/>
            <w:shd w:val="clear" w:color="auto" w:fill="auto"/>
            <w:noWrap/>
            <w:vAlign w:val="center"/>
          </w:tcPr>
          <w:p w:rsidR="00435460" w:rsidRPr="00F37056" w:rsidRDefault="00435460" w:rsidP="00F37056">
            <w:pPr>
              <w:spacing w:line="240" w:lineRule="auto"/>
              <w:jc w:val="both"/>
              <w:rPr>
                <w:rFonts w:ascii="Times New Roman" w:hAnsi="Times New Roman" w:cs="Times New Roman"/>
                <w:sz w:val="20"/>
                <w:szCs w:val="20"/>
              </w:rPr>
            </w:pPr>
            <w:r w:rsidRPr="00435460">
              <w:rPr>
                <w:rFonts w:ascii="Times New Roman" w:hAnsi="Times New Roman" w:cs="Times New Roman"/>
                <w:sz w:val="20"/>
                <w:szCs w:val="20"/>
              </w:rPr>
              <w:t>109.058</w:t>
            </w:r>
          </w:p>
        </w:tc>
        <w:tc>
          <w:tcPr>
            <w:tcW w:w="576" w:type="pct"/>
            <w:shd w:val="clear" w:color="auto" w:fill="auto"/>
            <w:noWrap/>
          </w:tcPr>
          <w:p w:rsidR="00435460" w:rsidRPr="00435460" w:rsidRDefault="00435460" w:rsidP="00435460">
            <w:pPr>
              <w:spacing w:line="240" w:lineRule="auto"/>
              <w:jc w:val="both"/>
              <w:rPr>
                <w:rFonts w:ascii="Times New Roman" w:hAnsi="Times New Roman" w:cs="Times New Roman"/>
                <w:sz w:val="20"/>
                <w:szCs w:val="20"/>
              </w:rPr>
            </w:pPr>
            <w:r w:rsidRPr="00435460">
              <w:rPr>
                <w:rFonts w:ascii="Times New Roman" w:hAnsi="Times New Roman" w:cs="Times New Roman"/>
                <w:sz w:val="20"/>
                <w:szCs w:val="20"/>
              </w:rPr>
              <w:t>19.841</w:t>
            </w:r>
          </w:p>
        </w:tc>
        <w:tc>
          <w:tcPr>
            <w:tcW w:w="695" w:type="pct"/>
            <w:shd w:val="clear" w:color="auto" w:fill="auto"/>
            <w:noWrap/>
            <w:vAlign w:val="center"/>
          </w:tcPr>
          <w:p w:rsidR="00435460" w:rsidRPr="00F37056" w:rsidRDefault="00435460" w:rsidP="00F37056">
            <w:pPr>
              <w:spacing w:line="240" w:lineRule="auto"/>
              <w:jc w:val="both"/>
              <w:rPr>
                <w:rFonts w:ascii="Times New Roman" w:hAnsi="Times New Roman" w:cs="Times New Roman"/>
                <w:b/>
                <w:bCs/>
                <w:sz w:val="20"/>
                <w:szCs w:val="20"/>
              </w:rPr>
            </w:pPr>
            <w:r w:rsidRPr="00435460">
              <w:rPr>
                <w:rFonts w:ascii="Times New Roman" w:hAnsi="Times New Roman" w:cs="Times New Roman"/>
                <w:b/>
                <w:bCs/>
                <w:sz w:val="20"/>
                <w:szCs w:val="20"/>
              </w:rPr>
              <w:t>170.118</w:t>
            </w:r>
          </w:p>
        </w:tc>
        <w:tc>
          <w:tcPr>
            <w:tcW w:w="655" w:type="pct"/>
            <w:shd w:val="clear" w:color="auto" w:fill="auto"/>
            <w:noWrap/>
            <w:vAlign w:val="center"/>
          </w:tcPr>
          <w:p w:rsidR="00435460" w:rsidRPr="00F37056" w:rsidRDefault="00A77AA1" w:rsidP="00F37056">
            <w:pPr>
              <w:spacing w:line="240" w:lineRule="auto"/>
              <w:jc w:val="both"/>
              <w:rPr>
                <w:rFonts w:ascii="Times New Roman" w:hAnsi="Times New Roman" w:cs="Times New Roman"/>
                <w:sz w:val="20"/>
                <w:szCs w:val="20"/>
              </w:rPr>
            </w:pPr>
            <w:r w:rsidRPr="00A77AA1">
              <w:rPr>
                <w:rFonts w:ascii="Times New Roman" w:hAnsi="Times New Roman" w:cs="Times New Roman"/>
                <w:sz w:val="20"/>
                <w:szCs w:val="20"/>
              </w:rPr>
              <w:t>165.811</w:t>
            </w:r>
          </w:p>
        </w:tc>
        <w:tc>
          <w:tcPr>
            <w:tcW w:w="655" w:type="pct"/>
            <w:shd w:val="clear" w:color="auto" w:fill="auto"/>
            <w:noWrap/>
            <w:vAlign w:val="center"/>
          </w:tcPr>
          <w:p w:rsidR="00435460" w:rsidRPr="00F37056" w:rsidRDefault="00D77695" w:rsidP="00F37056">
            <w:pPr>
              <w:spacing w:line="240" w:lineRule="auto"/>
              <w:jc w:val="both"/>
              <w:rPr>
                <w:rFonts w:ascii="Times New Roman" w:hAnsi="Times New Roman" w:cs="Times New Roman"/>
                <w:sz w:val="20"/>
                <w:szCs w:val="20"/>
              </w:rPr>
            </w:pPr>
            <w:r w:rsidRPr="00D77695">
              <w:rPr>
                <w:rFonts w:ascii="Times New Roman" w:hAnsi="Times New Roman" w:cs="Times New Roman"/>
                <w:sz w:val="20"/>
                <w:szCs w:val="20"/>
              </w:rPr>
              <w:t>397.877</w:t>
            </w:r>
          </w:p>
        </w:tc>
        <w:tc>
          <w:tcPr>
            <w:tcW w:w="694" w:type="pct"/>
            <w:shd w:val="clear" w:color="auto" w:fill="auto"/>
            <w:noWrap/>
            <w:vAlign w:val="center"/>
          </w:tcPr>
          <w:p w:rsidR="00435460" w:rsidRPr="00F37056" w:rsidRDefault="0084137E" w:rsidP="00F37056">
            <w:pPr>
              <w:spacing w:line="240" w:lineRule="auto"/>
              <w:jc w:val="both"/>
              <w:rPr>
                <w:rFonts w:ascii="Times New Roman" w:hAnsi="Times New Roman" w:cs="Times New Roman"/>
                <w:b/>
                <w:bCs/>
                <w:sz w:val="20"/>
                <w:szCs w:val="20"/>
              </w:rPr>
            </w:pPr>
            <w:r w:rsidRPr="0084137E">
              <w:rPr>
                <w:rFonts w:ascii="Times New Roman" w:hAnsi="Times New Roman" w:cs="Times New Roman"/>
                <w:b/>
                <w:bCs/>
                <w:sz w:val="20"/>
                <w:szCs w:val="20"/>
              </w:rPr>
              <w:t>626.324</w:t>
            </w:r>
          </w:p>
        </w:tc>
      </w:tr>
      <w:tr w:rsidR="00D77695" w:rsidRPr="00F37056" w:rsidTr="00511D7A">
        <w:trPr>
          <w:trHeight w:val="20"/>
        </w:trPr>
        <w:tc>
          <w:tcPr>
            <w:tcW w:w="494" w:type="pct"/>
            <w:shd w:val="clear" w:color="auto" w:fill="auto"/>
            <w:noWrap/>
            <w:vAlign w:val="center"/>
          </w:tcPr>
          <w:p w:rsidR="00D77695" w:rsidRDefault="00A77AA1" w:rsidP="00F37056">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2020</w:t>
            </w:r>
          </w:p>
        </w:tc>
        <w:tc>
          <w:tcPr>
            <w:tcW w:w="576" w:type="pct"/>
            <w:shd w:val="clear" w:color="auto" w:fill="auto"/>
            <w:noWrap/>
          </w:tcPr>
          <w:p w:rsidR="00D77695" w:rsidRPr="00435460" w:rsidRDefault="00D77695" w:rsidP="00435460">
            <w:pPr>
              <w:spacing w:line="240" w:lineRule="auto"/>
              <w:jc w:val="both"/>
              <w:rPr>
                <w:rFonts w:ascii="Times New Roman" w:hAnsi="Times New Roman" w:cs="Times New Roman"/>
                <w:sz w:val="20"/>
                <w:szCs w:val="20"/>
              </w:rPr>
            </w:pPr>
          </w:p>
        </w:tc>
        <w:tc>
          <w:tcPr>
            <w:tcW w:w="655" w:type="pct"/>
            <w:shd w:val="clear" w:color="auto" w:fill="auto"/>
            <w:noWrap/>
            <w:vAlign w:val="center"/>
          </w:tcPr>
          <w:p w:rsidR="00D77695" w:rsidRPr="00435460" w:rsidRDefault="00D77695" w:rsidP="00F37056">
            <w:pPr>
              <w:spacing w:line="240" w:lineRule="auto"/>
              <w:jc w:val="both"/>
              <w:rPr>
                <w:rFonts w:ascii="Times New Roman" w:hAnsi="Times New Roman" w:cs="Times New Roman"/>
                <w:sz w:val="20"/>
                <w:szCs w:val="20"/>
              </w:rPr>
            </w:pPr>
            <w:r>
              <w:rPr>
                <w:rFonts w:ascii="Times New Roman" w:hAnsi="Times New Roman" w:cs="Times New Roman"/>
                <w:sz w:val="20"/>
                <w:szCs w:val="20"/>
              </w:rPr>
              <w:t>109.271</w:t>
            </w:r>
          </w:p>
        </w:tc>
        <w:tc>
          <w:tcPr>
            <w:tcW w:w="576" w:type="pct"/>
            <w:shd w:val="clear" w:color="auto" w:fill="auto"/>
            <w:noWrap/>
          </w:tcPr>
          <w:p w:rsidR="00D77695" w:rsidRPr="00435460" w:rsidRDefault="00D77695" w:rsidP="00435460">
            <w:pPr>
              <w:spacing w:line="240" w:lineRule="auto"/>
              <w:jc w:val="both"/>
              <w:rPr>
                <w:rFonts w:ascii="Times New Roman" w:hAnsi="Times New Roman" w:cs="Times New Roman"/>
                <w:sz w:val="20"/>
                <w:szCs w:val="20"/>
              </w:rPr>
            </w:pPr>
          </w:p>
        </w:tc>
        <w:tc>
          <w:tcPr>
            <w:tcW w:w="695" w:type="pct"/>
            <w:shd w:val="clear" w:color="auto" w:fill="auto"/>
            <w:noWrap/>
            <w:vAlign w:val="center"/>
          </w:tcPr>
          <w:p w:rsidR="00D77695" w:rsidRPr="00435460" w:rsidRDefault="007609AD" w:rsidP="00F37056">
            <w:pPr>
              <w:spacing w:line="240" w:lineRule="auto"/>
              <w:jc w:val="both"/>
              <w:rPr>
                <w:rFonts w:ascii="Times New Roman" w:hAnsi="Times New Roman" w:cs="Times New Roman"/>
                <w:b/>
                <w:bCs/>
                <w:sz w:val="20"/>
                <w:szCs w:val="20"/>
              </w:rPr>
            </w:pPr>
            <w:r w:rsidRPr="007609AD">
              <w:rPr>
                <w:rFonts w:ascii="Times New Roman" w:hAnsi="Times New Roman" w:cs="Times New Roman"/>
                <w:b/>
                <w:bCs/>
                <w:sz w:val="20"/>
                <w:szCs w:val="20"/>
              </w:rPr>
              <w:t>174.737</w:t>
            </w:r>
          </w:p>
        </w:tc>
        <w:tc>
          <w:tcPr>
            <w:tcW w:w="655" w:type="pct"/>
            <w:shd w:val="clear" w:color="auto" w:fill="auto"/>
            <w:noWrap/>
            <w:vAlign w:val="center"/>
          </w:tcPr>
          <w:p w:rsidR="00D77695" w:rsidRPr="00F37056" w:rsidRDefault="00A77AA1" w:rsidP="00F37056">
            <w:pPr>
              <w:spacing w:line="240" w:lineRule="auto"/>
              <w:jc w:val="both"/>
              <w:rPr>
                <w:rFonts w:ascii="Times New Roman" w:hAnsi="Times New Roman" w:cs="Times New Roman"/>
                <w:sz w:val="20"/>
                <w:szCs w:val="20"/>
              </w:rPr>
            </w:pPr>
            <w:r w:rsidRPr="00A77AA1">
              <w:rPr>
                <w:rFonts w:ascii="Times New Roman" w:hAnsi="Times New Roman" w:cs="Times New Roman"/>
                <w:sz w:val="20"/>
                <w:szCs w:val="20"/>
              </w:rPr>
              <w:t>157.070</w:t>
            </w:r>
          </w:p>
        </w:tc>
        <w:tc>
          <w:tcPr>
            <w:tcW w:w="655" w:type="pct"/>
            <w:shd w:val="clear" w:color="auto" w:fill="auto"/>
            <w:noWrap/>
            <w:vAlign w:val="center"/>
          </w:tcPr>
          <w:p w:rsidR="00D77695" w:rsidRPr="00F37056" w:rsidRDefault="0084137E" w:rsidP="00F37056">
            <w:pPr>
              <w:spacing w:line="240" w:lineRule="auto"/>
              <w:jc w:val="both"/>
              <w:rPr>
                <w:rFonts w:ascii="Times New Roman" w:hAnsi="Times New Roman" w:cs="Times New Roman"/>
                <w:sz w:val="20"/>
                <w:szCs w:val="20"/>
              </w:rPr>
            </w:pPr>
            <w:r w:rsidRPr="0084137E">
              <w:rPr>
                <w:rFonts w:ascii="Times New Roman" w:hAnsi="Times New Roman" w:cs="Times New Roman"/>
                <w:sz w:val="20"/>
                <w:szCs w:val="20"/>
              </w:rPr>
              <w:t>396.381</w:t>
            </w:r>
          </w:p>
        </w:tc>
        <w:tc>
          <w:tcPr>
            <w:tcW w:w="694" w:type="pct"/>
            <w:shd w:val="clear" w:color="auto" w:fill="auto"/>
            <w:noWrap/>
            <w:vAlign w:val="center"/>
          </w:tcPr>
          <w:p w:rsidR="00D77695" w:rsidRPr="00F37056" w:rsidRDefault="0084137E" w:rsidP="00F37056">
            <w:pPr>
              <w:spacing w:line="240" w:lineRule="auto"/>
              <w:jc w:val="both"/>
              <w:rPr>
                <w:rFonts w:ascii="Times New Roman" w:hAnsi="Times New Roman" w:cs="Times New Roman"/>
                <w:b/>
                <w:bCs/>
                <w:sz w:val="20"/>
                <w:szCs w:val="20"/>
              </w:rPr>
            </w:pPr>
            <w:r w:rsidRPr="0084137E">
              <w:rPr>
                <w:rFonts w:ascii="Times New Roman" w:hAnsi="Times New Roman" w:cs="Times New Roman"/>
                <w:b/>
                <w:bCs/>
                <w:sz w:val="20"/>
                <w:szCs w:val="20"/>
              </w:rPr>
              <w:t>621.219</w:t>
            </w:r>
          </w:p>
        </w:tc>
      </w:tr>
    </w:tbl>
    <w:bookmarkEnd w:id="13"/>
    <w:p w:rsidR="00F37056" w:rsidRPr="00585111" w:rsidRDefault="00F37056" w:rsidP="00585111">
      <w:pPr>
        <w:spacing w:line="240" w:lineRule="auto"/>
        <w:jc w:val="both"/>
        <w:rPr>
          <w:rFonts w:ascii="Times New Roman" w:hAnsi="Times New Roman" w:cs="Times New Roman"/>
          <w:sz w:val="20"/>
          <w:szCs w:val="20"/>
        </w:rPr>
      </w:pPr>
      <w:r w:rsidRPr="00585111">
        <w:rPr>
          <w:rFonts w:ascii="Times New Roman" w:hAnsi="Times New Roman" w:cs="Times New Roman"/>
          <w:sz w:val="20"/>
          <w:szCs w:val="20"/>
        </w:rPr>
        <w:t>Elaboração própria.</w:t>
      </w:r>
    </w:p>
    <w:p w:rsidR="00F37056" w:rsidRPr="00585111" w:rsidRDefault="00F37056" w:rsidP="00585111">
      <w:pPr>
        <w:spacing w:line="240" w:lineRule="auto"/>
        <w:jc w:val="both"/>
        <w:rPr>
          <w:rFonts w:ascii="Times New Roman" w:hAnsi="Times New Roman" w:cs="Times New Roman"/>
          <w:sz w:val="20"/>
          <w:szCs w:val="20"/>
        </w:rPr>
      </w:pPr>
      <w:r w:rsidRPr="00585111">
        <w:rPr>
          <w:rFonts w:ascii="Times New Roman" w:hAnsi="Times New Roman" w:cs="Times New Roman"/>
          <w:sz w:val="20"/>
          <w:szCs w:val="20"/>
        </w:rPr>
        <w:t>Fonte: IBGE. Anuário estatístico do Brasil (vários anos); MME (2019); EPE (2019).</w:t>
      </w:r>
    </w:p>
    <w:p w:rsidR="00F37056" w:rsidRPr="00585111" w:rsidRDefault="00F37056" w:rsidP="00585111">
      <w:pPr>
        <w:spacing w:line="240" w:lineRule="auto"/>
        <w:jc w:val="both"/>
        <w:rPr>
          <w:rFonts w:ascii="Times New Roman" w:hAnsi="Times New Roman" w:cs="Times New Roman"/>
          <w:sz w:val="20"/>
          <w:szCs w:val="20"/>
        </w:rPr>
      </w:pPr>
      <w:r w:rsidRPr="00585111">
        <w:rPr>
          <w:rFonts w:ascii="Times New Roman" w:hAnsi="Times New Roman" w:cs="Times New Roman"/>
          <w:sz w:val="20"/>
          <w:szCs w:val="20"/>
        </w:rPr>
        <w:t>Nota: Os valores referentes aos anos 1974 a 2016, divulgados pelo MME, correspondem a dados em TEP, convertidos pelo fator de 11,3 x 10³.</w:t>
      </w:r>
      <w:r w:rsidR="000C0160">
        <w:rPr>
          <w:rFonts w:ascii="Times New Roman" w:hAnsi="Times New Roman" w:cs="Times New Roman"/>
          <w:sz w:val="20"/>
          <w:szCs w:val="20"/>
        </w:rPr>
        <w:t xml:space="preserve"> </w:t>
      </w:r>
    </w:p>
    <w:p w:rsidR="00F37056" w:rsidRPr="00A90FD1" w:rsidRDefault="00F37056" w:rsidP="00A90FD1">
      <w:pPr>
        <w:spacing w:line="360" w:lineRule="auto"/>
        <w:jc w:val="both"/>
        <w:rPr>
          <w:rFonts w:ascii="Times New Roman" w:hAnsi="Times New Roman" w:cs="Times New Roman"/>
          <w:sz w:val="24"/>
          <w:szCs w:val="24"/>
        </w:rPr>
      </w:pPr>
    </w:p>
    <w:p w:rsidR="001A09F7" w:rsidRDefault="009337F0" w:rsidP="0058511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585111" w:rsidRPr="00DB025E">
        <w:rPr>
          <w:rFonts w:ascii="Times New Roman" w:hAnsi="Times New Roman" w:cs="Times New Roman"/>
          <w:sz w:val="24"/>
          <w:szCs w:val="24"/>
        </w:rPr>
        <w:t xml:space="preserve"> risco de insuficiência da oferta </w:t>
      </w:r>
      <w:r w:rsidR="00585111">
        <w:rPr>
          <w:rFonts w:ascii="Times New Roman" w:hAnsi="Times New Roman" w:cs="Times New Roman"/>
          <w:sz w:val="24"/>
          <w:szCs w:val="24"/>
        </w:rPr>
        <w:t xml:space="preserve">de energia elétrica </w:t>
      </w:r>
      <w:r>
        <w:rPr>
          <w:rFonts w:ascii="Times New Roman" w:hAnsi="Times New Roman" w:cs="Times New Roman"/>
          <w:sz w:val="24"/>
          <w:szCs w:val="24"/>
        </w:rPr>
        <w:t>só pô</w:t>
      </w:r>
      <w:r w:rsidR="00585111">
        <w:rPr>
          <w:rFonts w:ascii="Times New Roman" w:hAnsi="Times New Roman" w:cs="Times New Roman"/>
          <w:sz w:val="24"/>
          <w:szCs w:val="24"/>
        </w:rPr>
        <w:t>de ser superado</w:t>
      </w:r>
      <w:r w:rsidRPr="009337F0">
        <w:rPr>
          <w:rFonts w:ascii="Times New Roman" w:hAnsi="Times New Roman" w:cs="Times New Roman"/>
          <w:sz w:val="24"/>
          <w:szCs w:val="24"/>
        </w:rPr>
        <w:t xml:space="preserve"> </w:t>
      </w:r>
      <w:r>
        <w:rPr>
          <w:rFonts w:ascii="Times New Roman" w:hAnsi="Times New Roman" w:cs="Times New Roman"/>
          <w:sz w:val="24"/>
          <w:szCs w:val="24"/>
        </w:rPr>
        <w:t>com a execusão de novos e volumosos</w:t>
      </w:r>
      <w:r w:rsidR="00D90BD8">
        <w:rPr>
          <w:rFonts w:ascii="Times New Roman" w:hAnsi="Times New Roman" w:cs="Times New Roman"/>
          <w:sz w:val="24"/>
          <w:szCs w:val="24"/>
        </w:rPr>
        <w:t xml:space="preserve"> investimentos</w:t>
      </w:r>
      <w:r w:rsidR="00585111" w:rsidRPr="00DB025E">
        <w:rPr>
          <w:rFonts w:ascii="Times New Roman" w:hAnsi="Times New Roman" w:cs="Times New Roman"/>
          <w:sz w:val="24"/>
          <w:szCs w:val="24"/>
        </w:rPr>
        <w:t>.</w:t>
      </w:r>
      <w:r w:rsidR="00585111">
        <w:rPr>
          <w:rFonts w:ascii="Times New Roman" w:hAnsi="Times New Roman" w:cs="Times New Roman"/>
          <w:sz w:val="24"/>
          <w:szCs w:val="24"/>
        </w:rPr>
        <w:t xml:space="preserve"> </w:t>
      </w:r>
      <w:r w:rsidR="001A09F7" w:rsidRPr="00A90FD1">
        <w:rPr>
          <w:rFonts w:ascii="Times New Roman" w:hAnsi="Times New Roman" w:cs="Times New Roman"/>
          <w:sz w:val="24"/>
          <w:szCs w:val="24"/>
        </w:rPr>
        <w:t xml:space="preserve">Com a retomada do planejamento e dos investimentos públicos, em parceria ao capital privado, houve, mais recentemente, uma nova e importante expansão do setor elétrico. Na área energética, em especial no setor elétrico, o Plano de Aceleração do Crescimento, dos governos Lula e Dilma Rousseff, </w:t>
      </w:r>
      <w:r w:rsidR="00D90BD8">
        <w:rPr>
          <w:rFonts w:ascii="Times New Roman" w:hAnsi="Times New Roman" w:cs="Times New Roman"/>
          <w:sz w:val="24"/>
          <w:szCs w:val="24"/>
        </w:rPr>
        <w:t xml:space="preserve">que </w:t>
      </w:r>
      <w:r w:rsidR="001A09F7" w:rsidRPr="00A90FD1">
        <w:rPr>
          <w:rFonts w:ascii="Times New Roman" w:hAnsi="Times New Roman" w:cs="Times New Roman"/>
          <w:sz w:val="24"/>
          <w:szCs w:val="24"/>
        </w:rPr>
        <w:t>mesmo comparado aos históricos Plano de Metas de JK e II PND, mostra-se ambicioso e capaz de sustentar uma ampliação da demanda relativamente alta.</w:t>
      </w:r>
    </w:p>
    <w:p w:rsidR="00DE1409" w:rsidRDefault="00DE1409" w:rsidP="00A90FD1">
      <w:pPr>
        <w:spacing w:line="360" w:lineRule="auto"/>
        <w:jc w:val="both"/>
        <w:rPr>
          <w:rFonts w:ascii="Times New Roman" w:hAnsi="Times New Roman" w:cs="Times New Roman"/>
          <w:sz w:val="24"/>
          <w:szCs w:val="24"/>
        </w:rPr>
      </w:pPr>
    </w:p>
    <w:p w:rsidR="00585111" w:rsidRPr="00A90FD1" w:rsidRDefault="00585111" w:rsidP="00A90FD1">
      <w:pPr>
        <w:spacing w:line="360" w:lineRule="auto"/>
        <w:jc w:val="both"/>
        <w:rPr>
          <w:rFonts w:ascii="Times New Roman" w:hAnsi="Times New Roman" w:cs="Times New Roman"/>
          <w:sz w:val="24"/>
          <w:szCs w:val="24"/>
        </w:rPr>
      </w:pPr>
    </w:p>
    <w:p w:rsidR="001A09F7" w:rsidRPr="00A90FD1" w:rsidRDefault="001A09F7" w:rsidP="00A90FD1">
      <w:pPr>
        <w:pStyle w:val="Heading1"/>
        <w:spacing w:line="360" w:lineRule="auto"/>
        <w:jc w:val="both"/>
        <w:rPr>
          <w:rFonts w:ascii="Times New Roman" w:hAnsi="Times New Roman" w:cs="Times New Roman"/>
          <w:sz w:val="24"/>
          <w:szCs w:val="24"/>
        </w:rPr>
      </w:pPr>
      <w:bookmarkStart w:id="14" w:name="_Toc30548818"/>
      <w:r w:rsidRPr="00A90FD1">
        <w:rPr>
          <w:rFonts w:ascii="Times New Roman" w:hAnsi="Times New Roman" w:cs="Times New Roman"/>
          <w:sz w:val="24"/>
          <w:szCs w:val="24"/>
        </w:rPr>
        <w:t>REFERÊNCIAS BIBLIOGRÁFICAS</w:t>
      </w:r>
      <w:bookmarkEnd w:id="14"/>
    </w:p>
    <w:p w:rsidR="00240131" w:rsidRDefault="00240131" w:rsidP="00A90FD1">
      <w:pPr>
        <w:spacing w:line="360" w:lineRule="auto"/>
        <w:jc w:val="both"/>
        <w:rPr>
          <w:rFonts w:ascii="Times New Roman" w:hAnsi="Times New Roman" w:cs="Times New Roman"/>
          <w:sz w:val="24"/>
          <w:szCs w:val="24"/>
        </w:rPr>
      </w:pP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ABRADEE - ASSOCIAÇÃO BRASILEIRA DE DISTRIBUIDORES DE ENERGIA ELÉTRICA. </w:t>
      </w:r>
      <w:r w:rsidRPr="00142D48">
        <w:rPr>
          <w:rFonts w:ascii="Times New Roman" w:hAnsi="Times New Roman" w:cs="Times New Roman"/>
          <w:b/>
          <w:sz w:val="24"/>
          <w:szCs w:val="24"/>
        </w:rPr>
        <w:t>Privatizações</w:t>
      </w:r>
      <w:r w:rsidRPr="00E83EDD">
        <w:rPr>
          <w:rFonts w:ascii="Times New Roman" w:hAnsi="Times New Roman" w:cs="Times New Roman"/>
          <w:sz w:val="24"/>
          <w:szCs w:val="24"/>
        </w:rPr>
        <w:t>. Disponível em: http://www.abradee.com.br/setoreletrico/privatizacoes. Acesso: 07 fev. 2018.</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ANEEL. </w:t>
      </w:r>
      <w:r w:rsidRPr="00142D48">
        <w:rPr>
          <w:rFonts w:ascii="Times New Roman" w:hAnsi="Times New Roman" w:cs="Times New Roman"/>
          <w:b/>
          <w:sz w:val="24"/>
          <w:szCs w:val="24"/>
        </w:rPr>
        <w:t>Banco de Informações de Geração</w:t>
      </w:r>
      <w:r w:rsidRPr="00E83EDD">
        <w:rPr>
          <w:rFonts w:ascii="Times New Roman" w:hAnsi="Times New Roman" w:cs="Times New Roman"/>
          <w:sz w:val="24"/>
          <w:szCs w:val="24"/>
        </w:rPr>
        <w:t xml:space="preserve">: Capacidade de Geração do Brasil. Disponível em: </w:t>
      </w:r>
      <w:hyperlink r:id="rId12" w:history="1">
        <w:r w:rsidRPr="00E83EDD">
          <w:rPr>
            <w:rStyle w:val="Hyperlink"/>
            <w:rFonts w:ascii="Times New Roman" w:hAnsi="Times New Roman" w:cs="Times New Roman"/>
            <w:sz w:val="24"/>
            <w:szCs w:val="24"/>
          </w:rPr>
          <w:t>http://www2.aneel.gov.br/aplicacoes/capacidadebrasil/capacidadebrasil.cfm</w:t>
        </w:r>
      </w:hyperlink>
      <w:r w:rsidRPr="00E83EDD">
        <w:rPr>
          <w:rFonts w:ascii="Times New Roman" w:hAnsi="Times New Roman" w:cs="Times New Roman"/>
          <w:sz w:val="24"/>
          <w:szCs w:val="24"/>
        </w:rPr>
        <w:t>. Acesso em 13 mar. 2022.</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lastRenderedPageBreak/>
        <w:t xml:space="preserve">BASTOS, P. P. Z. A economia política do novo-desenvolvimentismo e do social desenvolvimentismo. </w:t>
      </w:r>
      <w:r w:rsidRPr="00142D48">
        <w:rPr>
          <w:rFonts w:ascii="Times New Roman" w:hAnsi="Times New Roman" w:cs="Times New Roman"/>
          <w:b/>
          <w:sz w:val="24"/>
          <w:szCs w:val="24"/>
        </w:rPr>
        <w:t>Economia e Sociedade</w:t>
      </w:r>
      <w:r w:rsidRPr="00E83EDD">
        <w:rPr>
          <w:rFonts w:ascii="Times New Roman" w:hAnsi="Times New Roman" w:cs="Times New Roman"/>
          <w:sz w:val="24"/>
          <w:szCs w:val="24"/>
        </w:rPr>
        <w:t>. v. 21, 2012. (número especial)</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BORGES, Bráulio. </w:t>
      </w:r>
      <w:r w:rsidRPr="00142D48">
        <w:rPr>
          <w:rFonts w:ascii="Times New Roman" w:hAnsi="Times New Roman" w:cs="Times New Roman"/>
          <w:b/>
          <w:sz w:val="24"/>
          <w:szCs w:val="24"/>
        </w:rPr>
        <w:t>Impacto dos erros (reais) da Nova Matriz tem sido muito exagerado</w:t>
      </w:r>
      <w:r w:rsidRPr="00E83EDD">
        <w:rPr>
          <w:rFonts w:ascii="Times New Roman" w:hAnsi="Times New Roman" w:cs="Times New Roman"/>
          <w:sz w:val="24"/>
          <w:szCs w:val="24"/>
        </w:rPr>
        <w:t>. 2017. Dispobível em: https://blogdoibre.fgv.br/posts/impacto-dos-errosreais-da-nova-matriz-tem-sido-muito-exagerado. Acesso: 05 ago. 2018.</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BRASIL, MINISTÉRIO DE MINAS E ENERGIA - MME, SECRETARIA DE PLANEJAMENTO E DESENVOLVIMENTO ENERGÉTICO (SPE). </w:t>
      </w:r>
      <w:r w:rsidRPr="00142D48">
        <w:rPr>
          <w:rFonts w:ascii="Times New Roman" w:hAnsi="Times New Roman" w:cs="Times New Roman"/>
          <w:b/>
          <w:sz w:val="24"/>
          <w:szCs w:val="24"/>
        </w:rPr>
        <w:t>Balanço Energético Nacional</w:t>
      </w:r>
      <w:r w:rsidRPr="00E83EDD">
        <w:rPr>
          <w:rFonts w:ascii="Times New Roman" w:hAnsi="Times New Roman" w:cs="Times New Roman"/>
          <w:sz w:val="24"/>
          <w:szCs w:val="24"/>
        </w:rPr>
        <w:t xml:space="preserve">. </w:t>
      </w:r>
      <w:hyperlink r:id="rId13" w:history="1">
        <w:r w:rsidRPr="00E83EDD">
          <w:rPr>
            <w:rStyle w:val="Hyperlink"/>
            <w:rFonts w:ascii="Times New Roman" w:hAnsi="Times New Roman" w:cs="Times New Roman"/>
            <w:sz w:val="24"/>
            <w:szCs w:val="24"/>
          </w:rPr>
          <w:t>https://www.gov.br/mme/pt-br/assuntos/secretarias/spe/publicacoes/balanco-energetico-nacional</w:t>
        </w:r>
      </w:hyperlink>
      <w:r w:rsidRPr="00E83EDD">
        <w:rPr>
          <w:rFonts w:ascii="Times New Roman" w:hAnsi="Times New Roman" w:cs="Times New Roman"/>
          <w:sz w:val="24"/>
          <w:szCs w:val="24"/>
        </w:rPr>
        <w:t>. Acesso em: 15 mar. 2022.</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BRASIL, MINISTÉRIO DE MINAS E ENERGIA- MME, EMPRESA DE PESQUISA ENERGÉTICA - EPE. </w:t>
      </w:r>
      <w:r w:rsidRPr="00142D48">
        <w:rPr>
          <w:rFonts w:ascii="Times New Roman" w:hAnsi="Times New Roman" w:cs="Times New Roman"/>
          <w:b/>
          <w:sz w:val="24"/>
          <w:szCs w:val="24"/>
        </w:rPr>
        <w:t>Anuário Estatístico de Energia Elétrica 2021</w:t>
      </w:r>
      <w:r w:rsidRPr="00E83EDD">
        <w:rPr>
          <w:rFonts w:ascii="Times New Roman" w:hAnsi="Times New Roman" w:cs="Times New Roman"/>
          <w:sz w:val="24"/>
          <w:szCs w:val="24"/>
        </w:rPr>
        <w:t xml:space="preserve">: ano base 2020. 2021. Disponível em: </w:t>
      </w:r>
      <w:hyperlink r:id="rId14" w:history="1">
        <w:r w:rsidRPr="00E83EDD">
          <w:rPr>
            <w:rStyle w:val="Hyperlink"/>
            <w:rFonts w:ascii="Times New Roman" w:hAnsi="Times New Roman" w:cs="Times New Roman"/>
            <w:sz w:val="24"/>
            <w:szCs w:val="24"/>
          </w:rPr>
          <w:t>https://www.epe.gov.br/sites-pt/publicacoes-dados-abertos/publicacoes/PublicacoesArquivos/publicacao-160/topico-168/Anu%C3%A1rio_2021.pdf</w:t>
        </w:r>
      </w:hyperlink>
      <w:r w:rsidRPr="00E83EDD">
        <w:rPr>
          <w:rFonts w:ascii="Times New Roman" w:hAnsi="Times New Roman" w:cs="Times New Roman"/>
          <w:sz w:val="24"/>
          <w:szCs w:val="24"/>
        </w:rPr>
        <w:t>. Acesso: 15 mar. 2022.</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BRASIL, MINISTÉRIO DO PLANEJAMENTO, ORÇAMENTO E GESTÃO. SECRETARIA DE PLANEJAMENTO E INVESTIMENTOS ESTRATÉGICOS. </w:t>
      </w:r>
      <w:r w:rsidRPr="00142D48">
        <w:rPr>
          <w:rFonts w:ascii="Times New Roman" w:hAnsi="Times New Roman" w:cs="Times New Roman"/>
          <w:b/>
          <w:sz w:val="24"/>
          <w:szCs w:val="24"/>
        </w:rPr>
        <w:t>Plano plurianual 2004-2007</w:t>
      </w:r>
      <w:r w:rsidRPr="00E83EDD">
        <w:rPr>
          <w:rFonts w:ascii="Times New Roman" w:hAnsi="Times New Roman" w:cs="Times New Roman"/>
          <w:sz w:val="24"/>
          <w:szCs w:val="24"/>
        </w:rPr>
        <w:t>: mensagem presidencial / Ministério do Planejamento, Orçamento e Gestão, Secretaria de Planejamento e Investimentos Estratégicos. – Brasília: MP, 2003. Disponível em: http://www2.camara.leg.br/orcamento-da-uniao/leisorcamentarias/ppa/2004-2007/ppa-2004-2007/mensagempresidencial.PDF. Acesso: 19 mar. 2018.</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BRASIL. </w:t>
      </w:r>
      <w:r w:rsidRPr="00142D48">
        <w:rPr>
          <w:rFonts w:ascii="Times New Roman" w:hAnsi="Times New Roman" w:cs="Times New Roman"/>
          <w:b/>
          <w:sz w:val="24"/>
          <w:szCs w:val="24"/>
        </w:rPr>
        <w:t>PAC 2</w:t>
      </w:r>
      <w:r w:rsidRPr="00E83EDD">
        <w:rPr>
          <w:rFonts w:ascii="Times New Roman" w:hAnsi="Times New Roman" w:cs="Times New Roman"/>
          <w:sz w:val="24"/>
          <w:szCs w:val="24"/>
        </w:rPr>
        <w:t>: balanço de 4 anos [2011-2014]. Brasília: Secretaria do Programa de Aceleração do Crescimento, Ministério do Planejamento, 11º Balanço, 2014.</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BRASIL. </w:t>
      </w:r>
      <w:r w:rsidRPr="00142D48">
        <w:rPr>
          <w:rFonts w:ascii="Times New Roman" w:hAnsi="Times New Roman" w:cs="Times New Roman"/>
          <w:b/>
          <w:sz w:val="24"/>
          <w:szCs w:val="24"/>
        </w:rPr>
        <w:t>PAC</w:t>
      </w:r>
      <w:r w:rsidRPr="00E83EDD">
        <w:rPr>
          <w:rFonts w:ascii="Times New Roman" w:hAnsi="Times New Roman" w:cs="Times New Roman"/>
          <w:sz w:val="24"/>
          <w:szCs w:val="24"/>
        </w:rPr>
        <w:t>: balanço de 4 anos [2007-2010]. Brasília: Comitê Gestor do Programa de Aceleração do Crescimento, Presidência da República, 2010.</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BRASIL. SENADO FEDERAL. </w:t>
      </w:r>
      <w:r w:rsidRPr="00142D48">
        <w:rPr>
          <w:rFonts w:ascii="Times New Roman" w:hAnsi="Times New Roman" w:cs="Times New Roman"/>
          <w:b/>
          <w:sz w:val="24"/>
          <w:szCs w:val="24"/>
        </w:rPr>
        <w:t>Coleção Memória Legislativa</w:t>
      </w:r>
      <w:r w:rsidRPr="00E83EDD">
        <w:rPr>
          <w:rFonts w:ascii="Times New Roman" w:hAnsi="Times New Roman" w:cs="Times New Roman"/>
          <w:sz w:val="24"/>
          <w:szCs w:val="24"/>
        </w:rPr>
        <w:t>. Disponível em: http://www.senado.gov.br. Acesso em: 01 abr. de 2022.</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CANO, Wilson. (Des)Industrialização e (Sub)Desenvolvimento. </w:t>
      </w:r>
      <w:r w:rsidRPr="00142D48">
        <w:rPr>
          <w:rFonts w:ascii="Times New Roman" w:hAnsi="Times New Roman" w:cs="Times New Roman"/>
          <w:b/>
          <w:sz w:val="24"/>
          <w:szCs w:val="24"/>
        </w:rPr>
        <w:t>Cadernos do Desenvolvimento</w:t>
      </w:r>
      <w:r w:rsidRPr="00E83EDD">
        <w:rPr>
          <w:rFonts w:ascii="Times New Roman" w:hAnsi="Times New Roman" w:cs="Times New Roman"/>
          <w:sz w:val="24"/>
          <w:szCs w:val="24"/>
        </w:rPr>
        <w:t>, Rio de Janeiro, v. 9, n. 15, pp.139-174, jul.-dez. 2014.</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CENTRO DA MEMÓRIA DA ELETRICIDADE NO BRASIL. </w:t>
      </w:r>
      <w:r w:rsidRPr="001354E3">
        <w:rPr>
          <w:rFonts w:ascii="Times New Roman" w:hAnsi="Times New Roman" w:cs="Times New Roman"/>
          <w:b/>
          <w:sz w:val="24"/>
          <w:szCs w:val="24"/>
        </w:rPr>
        <w:t>A Eletrobras e a história do setor de energia elétrica no Brasil</w:t>
      </w:r>
      <w:r w:rsidRPr="00E83EDD">
        <w:rPr>
          <w:rFonts w:ascii="Times New Roman" w:hAnsi="Times New Roman" w:cs="Times New Roman"/>
          <w:sz w:val="24"/>
          <w:szCs w:val="24"/>
        </w:rPr>
        <w:t>: ciclo de palestras. Rio de Janeiro, 1995. 298 p.</w:t>
      </w:r>
    </w:p>
    <w:p w:rsidR="00142D48" w:rsidRPr="00142D48" w:rsidRDefault="00142D48" w:rsidP="00142D48">
      <w:pPr>
        <w:spacing w:before="240" w:line="240" w:lineRule="auto"/>
        <w:rPr>
          <w:rFonts w:ascii="Times New Roman" w:hAnsi="Times New Roman" w:cs="Times New Roman"/>
          <w:sz w:val="24"/>
          <w:szCs w:val="24"/>
          <w:lang w:val="en-US"/>
        </w:rPr>
      </w:pPr>
      <w:r w:rsidRPr="00E83EDD">
        <w:rPr>
          <w:rFonts w:ascii="Times New Roman" w:hAnsi="Times New Roman" w:cs="Times New Roman"/>
          <w:sz w:val="24"/>
          <w:szCs w:val="24"/>
        </w:rPr>
        <w:t xml:space="preserve">FONSECA, Pedro Cezar Dutra; AREND, Marcelo; GUERREIRO, Glaison Augusto. </w:t>
      </w:r>
      <w:r w:rsidRPr="001354E3">
        <w:rPr>
          <w:rFonts w:ascii="Times New Roman" w:hAnsi="Times New Roman" w:cs="Times New Roman"/>
          <w:b/>
          <w:sz w:val="24"/>
          <w:szCs w:val="24"/>
        </w:rPr>
        <w:t>Política econômica, instituições e classes sociais</w:t>
      </w:r>
      <w:r w:rsidRPr="00E83EDD">
        <w:rPr>
          <w:rFonts w:ascii="Times New Roman" w:hAnsi="Times New Roman" w:cs="Times New Roman"/>
          <w:sz w:val="24"/>
          <w:szCs w:val="24"/>
        </w:rPr>
        <w:t xml:space="preserve">: os governos do Partido dos Trabalhadores no Brasil. 2018. Disponível em: </w:t>
      </w:r>
      <w:hyperlink r:id="rId15" w:history="1">
        <w:r w:rsidRPr="00E83EDD">
          <w:rPr>
            <w:rStyle w:val="Hyperlink"/>
            <w:rFonts w:ascii="Times New Roman" w:hAnsi="Times New Roman" w:cs="Times New Roman"/>
            <w:sz w:val="24"/>
            <w:szCs w:val="24"/>
          </w:rPr>
          <w:t>https://www.researchgate.net/publication/326000213_POLITICA_ECONOMICA_INSTITUICOES_E_CLASSES_SOCIAIS_OS_GOVERNOS_DO_PARTIDO_DOS_TRABALHADORES_NO_BRASIL</w:t>
        </w:r>
      </w:hyperlink>
      <w:r w:rsidRPr="00E83EDD">
        <w:rPr>
          <w:rFonts w:ascii="Times New Roman" w:hAnsi="Times New Roman" w:cs="Times New Roman"/>
          <w:sz w:val="24"/>
          <w:szCs w:val="24"/>
        </w:rPr>
        <w:t xml:space="preserve">. </w:t>
      </w:r>
      <w:r w:rsidRPr="00142D48">
        <w:rPr>
          <w:rFonts w:ascii="Times New Roman" w:hAnsi="Times New Roman" w:cs="Times New Roman"/>
          <w:sz w:val="24"/>
          <w:szCs w:val="24"/>
          <w:lang w:val="en-US"/>
        </w:rPr>
        <w:t xml:space="preserve">Acesso: 25 mai 2019. </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lang w:val="en-US"/>
        </w:rPr>
        <w:lastRenderedPageBreak/>
        <w:t xml:space="preserve">HAUSMAN; HERTNER; WILKINGS. </w:t>
      </w:r>
      <w:r w:rsidRPr="001354E3">
        <w:rPr>
          <w:rFonts w:ascii="Times New Roman" w:hAnsi="Times New Roman" w:cs="Times New Roman"/>
          <w:b/>
          <w:sz w:val="24"/>
          <w:szCs w:val="24"/>
          <w:lang w:val="en-US"/>
        </w:rPr>
        <w:t>Global Electrification: Multinational Enterprise and International Finance in the History of Light and Power, 1878–2007</w:t>
      </w:r>
      <w:r w:rsidRPr="00E83EDD">
        <w:rPr>
          <w:rFonts w:ascii="Times New Roman" w:hAnsi="Times New Roman" w:cs="Times New Roman"/>
          <w:sz w:val="24"/>
          <w:szCs w:val="24"/>
          <w:lang w:val="en-US"/>
        </w:rPr>
        <w:t xml:space="preserve">. </w:t>
      </w:r>
      <w:r w:rsidRPr="00E83EDD">
        <w:rPr>
          <w:rFonts w:ascii="Times New Roman" w:hAnsi="Times New Roman" w:cs="Times New Roman"/>
          <w:sz w:val="24"/>
          <w:szCs w:val="24"/>
        </w:rPr>
        <w:t>Nova York: Cambridge University Press, 2008.</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INSTITUTO DE PESQUISA ECONÔMICA APLICADA – Ipeadata. </w:t>
      </w:r>
      <w:r w:rsidRPr="001354E3">
        <w:rPr>
          <w:rFonts w:ascii="Times New Roman" w:hAnsi="Times New Roman" w:cs="Times New Roman"/>
          <w:b/>
          <w:sz w:val="24"/>
          <w:szCs w:val="24"/>
        </w:rPr>
        <w:t>Dados macroeconômicos e regionais</w:t>
      </w:r>
      <w:r w:rsidRPr="00E83EDD">
        <w:rPr>
          <w:rFonts w:ascii="Times New Roman" w:hAnsi="Times New Roman" w:cs="Times New Roman"/>
          <w:sz w:val="24"/>
          <w:szCs w:val="24"/>
        </w:rPr>
        <w:t>. Disponível em: http://www.ipeadata.com.br. Acesso: 23 set. 2019.</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MARTIN, Jean-Marie. </w:t>
      </w:r>
      <w:r w:rsidRPr="001354E3">
        <w:rPr>
          <w:rFonts w:ascii="Times New Roman" w:hAnsi="Times New Roman" w:cs="Times New Roman"/>
          <w:b/>
          <w:sz w:val="24"/>
          <w:szCs w:val="24"/>
        </w:rPr>
        <w:t>A economia mundial de energia</w:t>
      </w:r>
      <w:r w:rsidRPr="00E83EDD">
        <w:rPr>
          <w:rFonts w:ascii="Times New Roman" w:hAnsi="Times New Roman" w:cs="Times New Roman"/>
          <w:sz w:val="24"/>
          <w:szCs w:val="24"/>
        </w:rPr>
        <w:t>. São Paulo:UNESP. 1992. 135p</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MELLO, Henrique. Evolução histórica. In: LESSA, Carlos (org.). </w:t>
      </w:r>
      <w:r w:rsidRPr="001354E3">
        <w:rPr>
          <w:rFonts w:ascii="Times New Roman" w:hAnsi="Times New Roman" w:cs="Times New Roman"/>
          <w:b/>
          <w:sz w:val="24"/>
          <w:szCs w:val="24"/>
        </w:rPr>
        <w:t>O Brasil à luz do apagão</w:t>
      </w:r>
      <w:r w:rsidRPr="00E83EDD">
        <w:rPr>
          <w:rFonts w:ascii="Times New Roman" w:hAnsi="Times New Roman" w:cs="Times New Roman"/>
          <w:sz w:val="24"/>
          <w:szCs w:val="24"/>
        </w:rPr>
        <w:t>. Rio de Janeiro: Plavra &amp; Imagem, 2001. p. 227-264.</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PAIXÃO, Leonardo André. Aspectos Jurídicos-Institucionais do Setor Elétrico Brasileiro. In: DI PIETRO, Maria Sylvia Zanella (Org.). </w:t>
      </w:r>
      <w:r w:rsidRPr="001354E3">
        <w:rPr>
          <w:rFonts w:ascii="Times New Roman" w:hAnsi="Times New Roman" w:cs="Times New Roman"/>
          <w:b/>
          <w:sz w:val="24"/>
          <w:szCs w:val="24"/>
        </w:rPr>
        <w:t>Direito Regulatório</w:t>
      </w:r>
      <w:r w:rsidRPr="00E83EDD">
        <w:rPr>
          <w:rFonts w:ascii="Times New Roman" w:hAnsi="Times New Roman" w:cs="Times New Roman"/>
          <w:sz w:val="24"/>
          <w:szCs w:val="24"/>
        </w:rPr>
        <w:t>: temas polêmicos. 2 ed. Belo Horizonte: Fórum, 2009. p. 339-376.</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PEREIRA, Bresser. </w:t>
      </w:r>
      <w:r w:rsidRPr="001354E3">
        <w:rPr>
          <w:rFonts w:ascii="Times New Roman" w:hAnsi="Times New Roman" w:cs="Times New Roman"/>
          <w:b/>
          <w:sz w:val="24"/>
          <w:szCs w:val="24"/>
        </w:rPr>
        <w:t>O novo desenvolvimentismo e a ortodoxia convencional</w:t>
      </w:r>
      <w:r w:rsidRPr="00E83EDD">
        <w:rPr>
          <w:rFonts w:ascii="Times New Roman" w:hAnsi="Times New Roman" w:cs="Times New Roman"/>
          <w:sz w:val="24"/>
          <w:szCs w:val="24"/>
        </w:rPr>
        <w:t xml:space="preserve">. São Paulo em Perspectiva 20 (3): 5 - 24. jul./set. 2006. Disponível em: </w:t>
      </w:r>
      <w:hyperlink r:id="rId16" w:history="1">
        <w:r w:rsidRPr="00E83EDD">
          <w:rPr>
            <w:rStyle w:val="Hyperlink"/>
            <w:rFonts w:ascii="Times New Roman" w:hAnsi="Times New Roman" w:cs="Times New Roman"/>
            <w:sz w:val="24"/>
            <w:szCs w:val="24"/>
          </w:rPr>
          <w:t>http://www.bresserpereira.org.br/papers/2006/06.3.Novo_Desenvolv-SEADE.pdf</w:t>
        </w:r>
      </w:hyperlink>
      <w:r w:rsidRPr="00E83EDD">
        <w:rPr>
          <w:rFonts w:ascii="Times New Roman" w:hAnsi="Times New Roman" w:cs="Times New Roman"/>
          <w:sz w:val="24"/>
          <w:szCs w:val="24"/>
        </w:rPr>
        <w:t>. Acesso: 20 mai. 2019.</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rPr>
        <w:t xml:space="preserve">ROSA, Luiz Pingueli. Energia e setor elétrico nos governos Lula e Dilma. In: SADER, Emir (Org.). </w:t>
      </w:r>
      <w:r w:rsidRPr="00142D48">
        <w:rPr>
          <w:rFonts w:ascii="Times New Roman" w:hAnsi="Times New Roman" w:cs="Times New Roman"/>
          <w:b/>
          <w:sz w:val="24"/>
          <w:szCs w:val="24"/>
        </w:rPr>
        <w:t>10 anos de governos pós-neoliberais no Brasil</w:t>
      </w:r>
      <w:r w:rsidRPr="00E83EDD">
        <w:rPr>
          <w:rFonts w:ascii="Times New Roman" w:hAnsi="Times New Roman" w:cs="Times New Roman"/>
          <w:sz w:val="24"/>
          <w:szCs w:val="24"/>
        </w:rPr>
        <w:t>: Lula e Dilma. São Paulo: Boitempo; Rio de Janeiro: FLACSO, 2013. p. 173-189.</w:t>
      </w:r>
    </w:p>
    <w:p w:rsidR="00142D48" w:rsidRPr="00142D48" w:rsidRDefault="00142D48" w:rsidP="00142D48">
      <w:pPr>
        <w:spacing w:before="240" w:line="240" w:lineRule="auto"/>
        <w:rPr>
          <w:rFonts w:ascii="Times New Roman" w:hAnsi="Times New Roman" w:cs="Times New Roman"/>
          <w:sz w:val="24"/>
          <w:szCs w:val="24"/>
          <w:lang w:val="en-US"/>
        </w:rPr>
      </w:pPr>
      <w:r w:rsidRPr="00E83EDD">
        <w:rPr>
          <w:rFonts w:ascii="Times New Roman" w:hAnsi="Times New Roman" w:cs="Times New Roman"/>
          <w:sz w:val="24"/>
          <w:szCs w:val="24"/>
        </w:rPr>
        <w:t xml:space="preserve">SEGER, Sonia. </w:t>
      </w:r>
      <w:r w:rsidRPr="00142D48">
        <w:rPr>
          <w:rFonts w:ascii="Times New Roman" w:hAnsi="Times New Roman" w:cs="Times New Roman"/>
          <w:b/>
          <w:sz w:val="24"/>
          <w:szCs w:val="24"/>
        </w:rPr>
        <w:t>Marcos constitutivos do setor elétrico brasileiro</w:t>
      </w:r>
      <w:r w:rsidRPr="00E83EDD">
        <w:rPr>
          <w:rFonts w:ascii="Times New Roman" w:hAnsi="Times New Roman" w:cs="Times New Roman"/>
          <w:sz w:val="24"/>
          <w:szCs w:val="24"/>
        </w:rPr>
        <w:t xml:space="preserve">. In: Magalhães, Gildo (org.). História e Energia: memória, informação e sociedade. </w:t>
      </w:r>
      <w:r w:rsidRPr="00142D48">
        <w:rPr>
          <w:rFonts w:ascii="Times New Roman" w:hAnsi="Times New Roman" w:cs="Times New Roman"/>
          <w:sz w:val="24"/>
          <w:szCs w:val="24"/>
          <w:lang w:val="en-US"/>
        </w:rPr>
        <w:t>São Paulo: Alameda, 2012. p. 105-157.</w:t>
      </w:r>
    </w:p>
    <w:p w:rsidR="00142D48" w:rsidRPr="00142D48" w:rsidRDefault="00142D48" w:rsidP="00142D48">
      <w:pPr>
        <w:spacing w:before="240" w:line="240" w:lineRule="auto"/>
        <w:rPr>
          <w:rFonts w:ascii="Times New Roman" w:hAnsi="Times New Roman" w:cs="Times New Roman"/>
          <w:sz w:val="24"/>
          <w:szCs w:val="24"/>
          <w:lang w:val="en-US"/>
        </w:rPr>
      </w:pPr>
      <w:r w:rsidRPr="00E83EDD">
        <w:rPr>
          <w:rFonts w:ascii="Times New Roman" w:hAnsi="Times New Roman" w:cs="Times New Roman"/>
          <w:sz w:val="24"/>
          <w:szCs w:val="24"/>
          <w:lang w:val="en-US"/>
        </w:rPr>
        <w:t xml:space="preserve">UNITED NATIONS. STATISTIC DIVISION. </w:t>
      </w:r>
      <w:r w:rsidRPr="00142D48">
        <w:rPr>
          <w:rFonts w:ascii="Times New Roman" w:hAnsi="Times New Roman" w:cs="Times New Roman"/>
          <w:b/>
          <w:sz w:val="24"/>
          <w:szCs w:val="24"/>
          <w:lang w:val="en-US"/>
        </w:rPr>
        <w:t>Energy Statistics Yearbook 2015</w:t>
      </w:r>
      <w:r w:rsidRPr="00E83EDD">
        <w:rPr>
          <w:rFonts w:ascii="Times New Roman" w:hAnsi="Times New Roman" w:cs="Times New Roman"/>
          <w:sz w:val="24"/>
          <w:szCs w:val="24"/>
          <w:lang w:val="en-US"/>
        </w:rPr>
        <w:t xml:space="preserve">. </w:t>
      </w:r>
      <w:r w:rsidRPr="00142D48">
        <w:rPr>
          <w:rFonts w:ascii="Times New Roman" w:hAnsi="Times New Roman" w:cs="Times New Roman"/>
          <w:sz w:val="24"/>
          <w:szCs w:val="24"/>
        </w:rPr>
        <w:t xml:space="preserve">UN, n. 59, 2018. Disponível em: </w:t>
      </w:r>
      <w:hyperlink r:id="rId17" w:history="1">
        <w:r w:rsidRPr="00E83EDD">
          <w:rPr>
            <w:rStyle w:val="Hyperlink"/>
            <w:rFonts w:ascii="Times New Roman" w:hAnsi="Times New Roman" w:cs="Times New Roman"/>
            <w:sz w:val="24"/>
            <w:szCs w:val="24"/>
          </w:rPr>
          <w:t>https://unstats.un.org/unsd/energystats/pubs/yearbook/</w:t>
        </w:r>
      </w:hyperlink>
      <w:r w:rsidRPr="00E83EDD">
        <w:rPr>
          <w:rFonts w:ascii="Times New Roman" w:hAnsi="Times New Roman" w:cs="Times New Roman"/>
          <w:sz w:val="24"/>
          <w:szCs w:val="24"/>
        </w:rPr>
        <w:t xml:space="preserve">. </w:t>
      </w:r>
      <w:r w:rsidRPr="00142D48">
        <w:rPr>
          <w:rFonts w:ascii="Times New Roman" w:hAnsi="Times New Roman" w:cs="Times New Roman"/>
          <w:sz w:val="24"/>
          <w:szCs w:val="24"/>
          <w:lang w:val="en-US"/>
        </w:rPr>
        <w:t>Acesso: 13 set. 2019.</w:t>
      </w:r>
    </w:p>
    <w:p w:rsidR="00142D48" w:rsidRPr="00E83EDD" w:rsidRDefault="00142D48" w:rsidP="00142D48">
      <w:pPr>
        <w:spacing w:before="240" w:line="240" w:lineRule="auto"/>
        <w:rPr>
          <w:rFonts w:ascii="Times New Roman" w:hAnsi="Times New Roman" w:cs="Times New Roman"/>
          <w:sz w:val="24"/>
          <w:szCs w:val="24"/>
        </w:rPr>
      </w:pPr>
      <w:r w:rsidRPr="00E83EDD">
        <w:rPr>
          <w:rFonts w:ascii="Times New Roman" w:hAnsi="Times New Roman" w:cs="Times New Roman"/>
          <w:sz w:val="24"/>
          <w:szCs w:val="24"/>
          <w:lang w:val="en-US"/>
        </w:rPr>
        <w:t xml:space="preserve">WEISBROT, Mark; JOHNSTON, Jake; LEFEBVRE, Stephan. </w:t>
      </w:r>
      <w:r w:rsidRPr="00142D48">
        <w:rPr>
          <w:rFonts w:ascii="Times New Roman" w:hAnsi="Times New Roman" w:cs="Times New Roman"/>
          <w:b/>
          <w:sz w:val="24"/>
          <w:szCs w:val="24"/>
          <w:lang w:val="en-US"/>
        </w:rPr>
        <w:t>The Brazilian Economy in Transition</w:t>
      </w:r>
      <w:r w:rsidRPr="00E83EDD">
        <w:rPr>
          <w:rFonts w:ascii="Times New Roman" w:hAnsi="Times New Roman" w:cs="Times New Roman"/>
          <w:sz w:val="24"/>
          <w:szCs w:val="24"/>
          <w:lang w:val="en-US"/>
        </w:rPr>
        <w:t xml:space="preserve">: Macroeconomic Policy, Labor and Inequality. Washington, DC: Center for Economic and Policy Research, 2014. Disponível em: </w:t>
      </w:r>
      <w:r w:rsidRPr="00E83EDD">
        <w:rPr>
          <w:rFonts w:ascii="Times New Roman" w:hAnsi="Times New Roman" w:cs="Times New Roman"/>
          <w:sz w:val="24"/>
          <w:szCs w:val="24"/>
        </w:rPr>
        <w:t>http://cepr.net/documents/brazil-2014-09.pdf. Acesso em: 02 mai. 2018.</w:t>
      </w:r>
    </w:p>
    <w:p w:rsidR="00240131" w:rsidRPr="00D7101E" w:rsidRDefault="00240131" w:rsidP="00142D48">
      <w:pPr>
        <w:spacing w:before="240" w:line="360" w:lineRule="auto"/>
        <w:jc w:val="both"/>
        <w:rPr>
          <w:rFonts w:ascii="Times New Roman" w:hAnsi="Times New Roman" w:cs="Times New Roman"/>
          <w:b/>
          <w:sz w:val="24"/>
          <w:szCs w:val="24"/>
        </w:rPr>
      </w:pPr>
    </w:p>
    <w:sectPr w:rsidR="00240131" w:rsidRPr="00D7101E" w:rsidSect="00AD5BE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7D" w:rsidRDefault="0075357D">
      <w:pPr>
        <w:spacing w:line="240" w:lineRule="auto"/>
      </w:pPr>
      <w:r>
        <w:separator/>
      </w:r>
    </w:p>
  </w:endnote>
  <w:endnote w:type="continuationSeparator" w:id="1">
    <w:p w:rsidR="0075357D" w:rsidRDefault="007535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7D" w:rsidRDefault="0075357D">
      <w:pPr>
        <w:spacing w:line="240" w:lineRule="auto"/>
      </w:pPr>
      <w:r>
        <w:separator/>
      </w:r>
    </w:p>
  </w:footnote>
  <w:footnote w:type="continuationSeparator" w:id="1">
    <w:p w:rsidR="0075357D" w:rsidRDefault="0075357D">
      <w:pPr>
        <w:spacing w:line="240" w:lineRule="auto"/>
      </w:pPr>
      <w:r>
        <w:continuationSeparator/>
      </w:r>
    </w:p>
  </w:footnote>
  <w:footnote w:id="2">
    <w:p w:rsidR="00BD5A7D" w:rsidRPr="00B83F6D" w:rsidRDefault="00BD5A7D" w:rsidP="00B83F6D">
      <w:pPr>
        <w:pStyle w:val="Textodenotaderodap"/>
        <w:spacing w:line="240" w:lineRule="auto"/>
        <w:ind w:firstLine="0"/>
        <w:jc w:val="both"/>
        <w:rPr>
          <w:rFonts w:ascii="Times New Roman" w:hAnsi="Times New Roman" w:cs="Times New Roman"/>
          <w:sz w:val="20"/>
        </w:rPr>
      </w:pPr>
      <w:r w:rsidRPr="00B83F6D">
        <w:rPr>
          <w:rStyle w:val="Refdenotaderodap"/>
          <w:rFonts w:ascii="Times New Roman" w:hAnsi="Times New Roman" w:cs="Times New Roman"/>
          <w:sz w:val="20"/>
        </w:rPr>
        <w:footnoteRef/>
      </w:r>
      <w:r w:rsidRPr="00B83F6D">
        <w:rPr>
          <w:rFonts w:ascii="Times New Roman" w:hAnsi="Times New Roman" w:cs="Times New Roman"/>
          <w:sz w:val="20"/>
        </w:rPr>
        <w:t xml:space="preserve"> C</w:t>
      </w:r>
      <w:r>
        <w:rPr>
          <w:rFonts w:ascii="Times New Roman" w:hAnsi="Times New Roman" w:cs="Times New Roman"/>
          <w:sz w:val="20"/>
        </w:rPr>
        <w:t>omo exemplo,</w:t>
      </w:r>
      <w:r w:rsidRPr="00B83F6D">
        <w:rPr>
          <w:rFonts w:ascii="Times New Roman" w:hAnsi="Times New Roman" w:cs="Times New Roman"/>
          <w:sz w:val="20"/>
        </w:rPr>
        <w:t xml:space="preserve"> distorções foram postas com inclusões como do Pontal do Paranapanema, da Cesp, com o Programa Nuclear e com o Modelo Energético Brasileiro, que trazia o carregamento das térmicas à carvão mineral no Sul</w:t>
      </w:r>
      <w:r>
        <w:rPr>
          <w:rFonts w:ascii="Times New Roman" w:hAnsi="Times New Roman" w:cs="Times New Roman"/>
          <w:sz w:val="20"/>
        </w:rPr>
        <w:t>.</w:t>
      </w:r>
    </w:p>
  </w:footnote>
  <w:footnote w:id="3">
    <w:p w:rsidR="00BD5A7D" w:rsidRPr="00A90FD1" w:rsidRDefault="00BD5A7D" w:rsidP="0015794F">
      <w:pPr>
        <w:pStyle w:val="Textodenotaderodap"/>
        <w:spacing w:line="240" w:lineRule="auto"/>
        <w:ind w:firstLin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Devemos destacar que décadas de intensa expansão causaram grandes impactos ambientais, que, apesar da importância, não serão abordados nesse trabalho. Resta dizer, somente, que em meados da década de 1980, novas preocupações, como a conservação do meio ambiente e a eficiência energética também ganham programas tocados pelo Estado brasileiro, como o Procel e PDMA (Plano Diretor para Conservação e Recuperação do Meio Ambiente nas Obras e Serviços do Setor Elétrico).</w:t>
      </w:r>
    </w:p>
  </w:footnote>
  <w:footnote w:id="4">
    <w:p w:rsidR="00BD5A7D" w:rsidRPr="0097219B" w:rsidRDefault="00BD5A7D" w:rsidP="0097219B">
      <w:pPr>
        <w:pStyle w:val="Textodenotaderodap"/>
        <w:ind w:firstLine="0"/>
        <w:rPr>
          <w:rFonts w:ascii="Times New Roman" w:hAnsi="Times New Roman" w:cs="Times New Roman"/>
          <w:sz w:val="20"/>
        </w:rPr>
      </w:pPr>
      <w:r w:rsidRPr="0097219B">
        <w:rPr>
          <w:rStyle w:val="Refdenotaderodap"/>
          <w:rFonts w:ascii="Times New Roman" w:hAnsi="Times New Roman" w:cs="Times New Roman"/>
          <w:sz w:val="20"/>
        </w:rPr>
        <w:footnoteRef/>
      </w:r>
      <w:r w:rsidRPr="0097219B">
        <w:rPr>
          <w:rFonts w:ascii="Times New Roman" w:hAnsi="Times New Roman" w:cs="Times New Roman"/>
          <w:sz w:val="20"/>
        </w:rPr>
        <w:t xml:space="preserve"> Instituído em 1974, a equalização tarifária visava reduzir o custo da energia elétrica em algumas regiões, transferendo recursos, a título de subsídio, pela formação da Reserva Global de Garantia</w:t>
      </w:r>
      <w:r>
        <w:rPr>
          <w:rFonts w:ascii="Times New Roman" w:hAnsi="Times New Roman" w:cs="Times New Roman"/>
          <w:sz w:val="20"/>
        </w:rPr>
        <w:t xml:space="preserve"> - RGG</w:t>
      </w:r>
      <w:r w:rsidRPr="0097219B">
        <w:rPr>
          <w:rFonts w:ascii="Times New Roman" w:hAnsi="Times New Roman" w:cs="Times New Roman"/>
          <w:sz w:val="20"/>
        </w:rPr>
        <w:t>.</w:t>
      </w:r>
    </w:p>
  </w:footnote>
  <w:footnote w:id="5">
    <w:p w:rsidR="00F661D1" w:rsidRPr="00F661D1" w:rsidRDefault="00F661D1" w:rsidP="00F661D1">
      <w:pPr>
        <w:pStyle w:val="Textodenotaderodap"/>
        <w:spacing w:line="240" w:lineRule="auto"/>
        <w:ind w:firstLine="0"/>
        <w:rPr>
          <w:rFonts w:ascii="Times New Roman" w:hAnsi="Times New Roman" w:cs="Times New Roman"/>
          <w:sz w:val="20"/>
        </w:rPr>
      </w:pPr>
      <w:r w:rsidRPr="00F661D1">
        <w:rPr>
          <w:rStyle w:val="Refdenotaderodap"/>
          <w:rFonts w:ascii="Times New Roman" w:hAnsi="Times New Roman" w:cs="Times New Roman"/>
          <w:sz w:val="20"/>
        </w:rPr>
        <w:footnoteRef/>
      </w:r>
      <w:r w:rsidRPr="00F661D1">
        <w:rPr>
          <w:rFonts w:ascii="Times New Roman" w:hAnsi="Times New Roman" w:cs="Times New Roman"/>
          <w:sz w:val="20"/>
        </w:rPr>
        <w:t xml:space="preserve"> Ver Pereira (2006), Fonseca, Arend e Geurreiro (2018)</w:t>
      </w:r>
      <w:r w:rsidR="00F94B34">
        <w:rPr>
          <w:rFonts w:ascii="Times New Roman" w:hAnsi="Times New Roman" w:cs="Times New Roman"/>
          <w:sz w:val="20"/>
        </w:rPr>
        <w:t>, Bastos (2012), Borges (2017),</w:t>
      </w:r>
      <w:r w:rsidRPr="00F661D1">
        <w:rPr>
          <w:rFonts w:ascii="Times New Roman" w:hAnsi="Times New Roman" w:cs="Times New Roman"/>
          <w:sz w:val="20"/>
        </w:rPr>
        <w:t xml:space="preserve"> Weisbrot, Johnston </w:t>
      </w:r>
      <w:r w:rsidR="00F94B34">
        <w:rPr>
          <w:rFonts w:ascii="Times New Roman" w:hAnsi="Times New Roman" w:cs="Times New Roman"/>
          <w:sz w:val="20"/>
        </w:rPr>
        <w:t>e</w:t>
      </w:r>
      <w:r w:rsidRPr="00F661D1">
        <w:rPr>
          <w:rFonts w:ascii="Times New Roman" w:hAnsi="Times New Roman" w:cs="Times New Roman"/>
          <w:sz w:val="20"/>
        </w:rPr>
        <w:t xml:space="preserve"> Lefebvre (2014) para compreensão do tema</w:t>
      </w:r>
      <w:r w:rsidR="00F94B34" w:rsidRPr="00F94B34">
        <w:rPr>
          <w:rFonts w:ascii="Times New Roman" w:hAnsi="Times New Roman" w:cs="Times New Roman"/>
          <w:sz w:val="20"/>
        </w:rPr>
        <w:t xml:space="preserve"> </w:t>
      </w:r>
      <w:r w:rsidR="00F94B34">
        <w:rPr>
          <w:rFonts w:ascii="Times New Roman" w:hAnsi="Times New Roman" w:cs="Times New Roman"/>
          <w:sz w:val="20"/>
        </w:rPr>
        <w:t xml:space="preserve">do possível retorno ao desenvolvimentismo e da diferença da política econômica desses governos. </w:t>
      </w:r>
      <w:r w:rsidR="007609AD">
        <w:rPr>
          <w:rFonts w:ascii="Times New Roman" w:hAnsi="Times New Roman" w:cs="Times New Roman"/>
          <w:sz w:val="20"/>
        </w:rPr>
        <w:t xml:space="preserve">Ver Cano (2014) para compreensão sobre o chamado processo de desindustrialização. </w:t>
      </w:r>
      <w:r w:rsidR="00F94B34">
        <w:rPr>
          <w:rFonts w:ascii="Times New Roman" w:hAnsi="Times New Roman" w:cs="Times New Roman"/>
          <w:sz w:val="20"/>
        </w:rPr>
        <w:t xml:space="preserve">Também ver </w:t>
      </w:r>
      <w:r w:rsidR="00F94B34" w:rsidRPr="00F661D1">
        <w:rPr>
          <w:rFonts w:ascii="Times New Roman" w:hAnsi="Times New Roman" w:cs="Times New Roman"/>
          <w:sz w:val="20"/>
        </w:rPr>
        <w:t>Rosa (2013),</w:t>
      </w:r>
      <w:r w:rsidR="00F94B34">
        <w:rPr>
          <w:rFonts w:ascii="Times New Roman" w:hAnsi="Times New Roman" w:cs="Times New Roman"/>
          <w:sz w:val="20"/>
        </w:rPr>
        <w:t xml:space="preserve"> para as mudanças na condução do setor elétrico, específicamente</w:t>
      </w:r>
      <w:r w:rsidRPr="00F661D1">
        <w:rPr>
          <w:rFonts w:ascii="Times New Roman" w:hAnsi="Times New Roman" w:cs="Times New Roman"/>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B3E"/>
    <w:multiLevelType w:val="hybridMultilevel"/>
    <w:tmpl w:val="00000000"/>
    <w:lvl w:ilvl="0" w:tplc="19F63352">
      <w:start w:val="1"/>
      <w:numFmt w:val="bullet"/>
      <w:lvlText w:val=""/>
      <w:lvlJc w:val="left"/>
      <w:pPr>
        <w:ind w:left="1287" w:hanging="360"/>
      </w:pPr>
      <w:rPr>
        <w:rFonts w:ascii="Symbol" w:hAnsi="Symbol"/>
      </w:rPr>
    </w:lvl>
    <w:lvl w:ilvl="1" w:tplc="2C5C3DB0">
      <w:start w:val="1"/>
      <w:numFmt w:val="bullet"/>
      <w:lvlText w:val="o"/>
      <w:lvlJc w:val="left"/>
      <w:pPr>
        <w:ind w:left="2007" w:hanging="360"/>
      </w:pPr>
      <w:rPr>
        <w:rFonts w:ascii="Courier New" w:hAnsi="Courier New" w:cs="Courier New"/>
      </w:rPr>
    </w:lvl>
    <w:lvl w:ilvl="2" w:tplc="DBDE90C2">
      <w:start w:val="1"/>
      <w:numFmt w:val="bullet"/>
      <w:lvlText w:val=""/>
      <w:lvlJc w:val="left"/>
      <w:pPr>
        <w:ind w:left="2727" w:hanging="360"/>
      </w:pPr>
      <w:rPr>
        <w:rFonts w:ascii="Wingdings" w:hAnsi="Wingdings"/>
      </w:rPr>
    </w:lvl>
    <w:lvl w:ilvl="3" w:tplc="0DCCD1D8">
      <w:start w:val="1"/>
      <w:numFmt w:val="bullet"/>
      <w:lvlText w:val=""/>
      <w:lvlJc w:val="left"/>
      <w:pPr>
        <w:ind w:left="3447" w:hanging="360"/>
      </w:pPr>
      <w:rPr>
        <w:rFonts w:ascii="Symbol" w:hAnsi="Symbol"/>
      </w:rPr>
    </w:lvl>
    <w:lvl w:ilvl="4" w:tplc="F1F84A26">
      <w:start w:val="1"/>
      <w:numFmt w:val="bullet"/>
      <w:lvlText w:val="o"/>
      <w:lvlJc w:val="left"/>
      <w:pPr>
        <w:ind w:left="4167" w:hanging="360"/>
      </w:pPr>
      <w:rPr>
        <w:rFonts w:ascii="Courier New" w:hAnsi="Courier New" w:cs="Courier New"/>
      </w:rPr>
    </w:lvl>
    <w:lvl w:ilvl="5" w:tplc="0D34C040">
      <w:start w:val="1"/>
      <w:numFmt w:val="bullet"/>
      <w:lvlText w:val=""/>
      <w:lvlJc w:val="left"/>
      <w:pPr>
        <w:ind w:left="4887" w:hanging="360"/>
      </w:pPr>
      <w:rPr>
        <w:rFonts w:ascii="Wingdings" w:hAnsi="Wingdings"/>
      </w:rPr>
    </w:lvl>
    <w:lvl w:ilvl="6" w:tplc="137A9AFE">
      <w:start w:val="1"/>
      <w:numFmt w:val="bullet"/>
      <w:lvlText w:val=""/>
      <w:lvlJc w:val="left"/>
      <w:pPr>
        <w:ind w:left="5607" w:hanging="360"/>
      </w:pPr>
      <w:rPr>
        <w:rFonts w:ascii="Symbol" w:hAnsi="Symbol"/>
      </w:rPr>
    </w:lvl>
    <w:lvl w:ilvl="7" w:tplc="99D0283A">
      <w:start w:val="1"/>
      <w:numFmt w:val="bullet"/>
      <w:lvlText w:val="o"/>
      <w:lvlJc w:val="left"/>
      <w:pPr>
        <w:ind w:left="6327" w:hanging="360"/>
      </w:pPr>
      <w:rPr>
        <w:rFonts w:ascii="Courier New" w:hAnsi="Courier New" w:cs="Courier New"/>
      </w:rPr>
    </w:lvl>
    <w:lvl w:ilvl="8" w:tplc="8CA65AC4">
      <w:start w:val="1"/>
      <w:numFmt w:val="bullet"/>
      <w:lvlText w:val=""/>
      <w:lvlJc w:val="left"/>
      <w:pPr>
        <w:ind w:left="7047" w:hanging="360"/>
      </w:pPr>
      <w:rPr>
        <w:rFonts w:ascii="Wingdings" w:hAnsi="Wingdings"/>
      </w:rPr>
    </w:lvl>
  </w:abstractNum>
  <w:abstractNum w:abstractNumId="1">
    <w:nsid w:val="115B0B94"/>
    <w:multiLevelType w:val="hybridMultilevel"/>
    <w:tmpl w:val="00000000"/>
    <w:lvl w:ilvl="0" w:tplc="8848D3BE">
      <w:start w:val="1"/>
      <w:numFmt w:val="bullet"/>
      <w:lvlText w:val=""/>
      <w:lvlJc w:val="left"/>
      <w:pPr>
        <w:ind w:left="1287" w:hanging="360"/>
      </w:pPr>
      <w:rPr>
        <w:rFonts w:ascii="Symbol" w:hAnsi="Symbol"/>
      </w:rPr>
    </w:lvl>
    <w:lvl w:ilvl="1" w:tplc="97F64F60">
      <w:start w:val="1"/>
      <w:numFmt w:val="bullet"/>
      <w:lvlText w:val="o"/>
      <w:lvlJc w:val="left"/>
      <w:pPr>
        <w:ind w:left="2007" w:hanging="360"/>
      </w:pPr>
      <w:rPr>
        <w:rFonts w:ascii="Courier New" w:hAnsi="Courier New" w:cs="Courier New"/>
      </w:rPr>
    </w:lvl>
    <w:lvl w:ilvl="2" w:tplc="966AD550">
      <w:start w:val="1"/>
      <w:numFmt w:val="bullet"/>
      <w:lvlText w:val=""/>
      <w:lvlJc w:val="left"/>
      <w:pPr>
        <w:ind w:left="2727" w:hanging="360"/>
      </w:pPr>
      <w:rPr>
        <w:rFonts w:ascii="Wingdings" w:hAnsi="Wingdings"/>
      </w:rPr>
    </w:lvl>
    <w:lvl w:ilvl="3" w:tplc="EDD49156">
      <w:start w:val="1"/>
      <w:numFmt w:val="bullet"/>
      <w:lvlText w:val=""/>
      <w:lvlJc w:val="left"/>
      <w:pPr>
        <w:ind w:left="3447" w:hanging="360"/>
      </w:pPr>
      <w:rPr>
        <w:rFonts w:ascii="Symbol" w:hAnsi="Symbol"/>
      </w:rPr>
    </w:lvl>
    <w:lvl w:ilvl="4" w:tplc="3D14767E">
      <w:start w:val="1"/>
      <w:numFmt w:val="bullet"/>
      <w:lvlText w:val="o"/>
      <w:lvlJc w:val="left"/>
      <w:pPr>
        <w:ind w:left="4167" w:hanging="360"/>
      </w:pPr>
      <w:rPr>
        <w:rFonts w:ascii="Courier New" w:hAnsi="Courier New" w:cs="Courier New"/>
      </w:rPr>
    </w:lvl>
    <w:lvl w:ilvl="5" w:tplc="3A68F6A0">
      <w:start w:val="1"/>
      <w:numFmt w:val="bullet"/>
      <w:lvlText w:val=""/>
      <w:lvlJc w:val="left"/>
      <w:pPr>
        <w:ind w:left="4887" w:hanging="360"/>
      </w:pPr>
      <w:rPr>
        <w:rFonts w:ascii="Wingdings" w:hAnsi="Wingdings"/>
      </w:rPr>
    </w:lvl>
    <w:lvl w:ilvl="6" w:tplc="1E16B6AE">
      <w:start w:val="1"/>
      <w:numFmt w:val="bullet"/>
      <w:lvlText w:val=""/>
      <w:lvlJc w:val="left"/>
      <w:pPr>
        <w:ind w:left="5607" w:hanging="360"/>
      </w:pPr>
      <w:rPr>
        <w:rFonts w:ascii="Symbol" w:hAnsi="Symbol"/>
      </w:rPr>
    </w:lvl>
    <w:lvl w:ilvl="7" w:tplc="D038748C">
      <w:start w:val="1"/>
      <w:numFmt w:val="bullet"/>
      <w:lvlText w:val="o"/>
      <w:lvlJc w:val="left"/>
      <w:pPr>
        <w:ind w:left="6327" w:hanging="360"/>
      </w:pPr>
      <w:rPr>
        <w:rFonts w:ascii="Courier New" w:hAnsi="Courier New" w:cs="Courier New"/>
      </w:rPr>
    </w:lvl>
    <w:lvl w:ilvl="8" w:tplc="C0CCF16A">
      <w:start w:val="1"/>
      <w:numFmt w:val="bullet"/>
      <w:lvlText w:val=""/>
      <w:lvlJc w:val="left"/>
      <w:pPr>
        <w:ind w:left="7047" w:hanging="360"/>
      </w:pPr>
      <w:rPr>
        <w:rFonts w:ascii="Wingdings" w:hAnsi="Wingdings"/>
      </w:rPr>
    </w:lvl>
  </w:abstractNum>
  <w:abstractNum w:abstractNumId="2">
    <w:nsid w:val="20D7131E"/>
    <w:multiLevelType w:val="hybridMultilevel"/>
    <w:tmpl w:val="D99A98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327E41"/>
    <w:multiLevelType w:val="hybridMultilevel"/>
    <w:tmpl w:val="8B907B0E"/>
    <w:lvl w:ilvl="0" w:tplc="CDDC2DB0">
      <w:start w:val="1"/>
      <w:numFmt w:val="bullet"/>
      <w:lvlText w:val=""/>
      <w:lvlJc w:val="left"/>
      <w:pPr>
        <w:tabs>
          <w:tab w:val="num" w:pos="720"/>
        </w:tabs>
        <w:ind w:left="720" w:hanging="360"/>
      </w:pPr>
      <w:rPr>
        <w:rFonts w:ascii="Wingdings" w:hAnsi="Wingdings" w:hint="default"/>
        <w:sz w:val="20"/>
      </w:rPr>
    </w:lvl>
    <w:lvl w:ilvl="1" w:tplc="0400BFF6" w:tentative="1">
      <w:start w:val="1"/>
      <w:numFmt w:val="bullet"/>
      <w:lvlText w:val=""/>
      <w:lvlJc w:val="left"/>
      <w:pPr>
        <w:tabs>
          <w:tab w:val="num" w:pos="1440"/>
        </w:tabs>
        <w:ind w:left="1440" w:hanging="360"/>
      </w:pPr>
      <w:rPr>
        <w:rFonts w:ascii="Wingdings" w:hAnsi="Wingdings" w:hint="default"/>
        <w:sz w:val="20"/>
      </w:rPr>
    </w:lvl>
    <w:lvl w:ilvl="2" w:tplc="EB80383A" w:tentative="1">
      <w:start w:val="1"/>
      <w:numFmt w:val="bullet"/>
      <w:lvlText w:val=""/>
      <w:lvlJc w:val="left"/>
      <w:pPr>
        <w:tabs>
          <w:tab w:val="num" w:pos="2160"/>
        </w:tabs>
        <w:ind w:left="2160" w:hanging="360"/>
      </w:pPr>
      <w:rPr>
        <w:rFonts w:ascii="Wingdings" w:hAnsi="Wingdings" w:hint="default"/>
        <w:sz w:val="20"/>
      </w:rPr>
    </w:lvl>
    <w:lvl w:ilvl="3" w:tplc="7284B89A" w:tentative="1">
      <w:start w:val="1"/>
      <w:numFmt w:val="bullet"/>
      <w:lvlText w:val=""/>
      <w:lvlJc w:val="left"/>
      <w:pPr>
        <w:tabs>
          <w:tab w:val="num" w:pos="2880"/>
        </w:tabs>
        <w:ind w:left="2880" w:hanging="360"/>
      </w:pPr>
      <w:rPr>
        <w:rFonts w:ascii="Wingdings" w:hAnsi="Wingdings" w:hint="default"/>
        <w:sz w:val="20"/>
      </w:rPr>
    </w:lvl>
    <w:lvl w:ilvl="4" w:tplc="8684E2FA" w:tentative="1">
      <w:start w:val="1"/>
      <w:numFmt w:val="bullet"/>
      <w:lvlText w:val=""/>
      <w:lvlJc w:val="left"/>
      <w:pPr>
        <w:tabs>
          <w:tab w:val="num" w:pos="3600"/>
        </w:tabs>
        <w:ind w:left="3600" w:hanging="360"/>
      </w:pPr>
      <w:rPr>
        <w:rFonts w:ascii="Wingdings" w:hAnsi="Wingdings" w:hint="default"/>
        <w:sz w:val="20"/>
      </w:rPr>
    </w:lvl>
    <w:lvl w:ilvl="5" w:tplc="3FF27198" w:tentative="1">
      <w:start w:val="1"/>
      <w:numFmt w:val="bullet"/>
      <w:lvlText w:val=""/>
      <w:lvlJc w:val="left"/>
      <w:pPr>
        <w:tabs>
          <w:tab w:val="num" w:pos="4320"/>
        </w:tabs>
        <w:ind w:left="4320" w:hanging="360"/>
      </w:pPr>
      <w:rPr>
        <w:rFonts w:ascii="Wingdings" w:hAnsi="Wingdings" w:hint="default"/>
        <w:sz w:val="20"/>
      </w:rPr>
    </w:lvl>
    <w:lvl w:ilvl="6" w:tplc="578E33D2" w:tentative="1">
      <w:start w:val="1"/>
      <w:numFmt w:val="bullet"/>
      <w:lvlText w:val=""/>
      <w:lvlJc w:val="left"/>
      <w:pPr>
        <w:tabs>
          <w:tab w:val="num" w:pos="5040"/>
        </w:tabs>
        <w:ind w:left="5040" w:hanging="360"/>
      </w:pPr>
      <w:rPr>
        <w:rFonts w:ascii="Wingdings" w:hAnsi="Wingdings" w:hint="default"/>
        <w:sz w:val="20"/>
      </w:rPr>
    </w:lvl>
    <w:lvl w:ilvl="7" w:tplc="9082359A" w:tentative="1">
      <w:start w:val="1"/>
      <w:numFmt w:val="bullet"/>
      <w:lvlText w:val=""/>
      <w:lvlJc w:val="left"/>
      <w:pPr>
        <w:tabs>
          <w:tab w:val="num" w:pos="5760"/>
        </w:tabs>
        <w:ind w:left="5760" w:hanging="360"/>
      </w:pPr>
      <w:rPr>
        <w:rFonts w:ascii="Wingdings" w:hAnsi="Wingdings" w:hint="default"/>
        <w:sz w:val="20"/>
      </w:rPr>
    </w:lvl>
    <w:lvl w:ilvl="8" w:tplc="A06A71F4"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34357"/>
    <w:multiLevelType w:val="hybridMultilevel"/>
    <w:tmpl w:val="4E84B17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356471FF"/>
    <w:multiLevelType w:val="hybridMultilevel"/>
    <w:tmpl w:val="460EFD4E"/>
    <w:lvl w:ilvl="0" w:tplc="3982B1C0">
      <w:start w:val="1"/>
      <w:numFmt w:val="decimal"/>
      <w:lvlText w:val="%1."/>
      <w:lvlJc w:val="left"/>
      <w:pPr>
        <w:ind w:left="720" w:hanging="360"/>
      </w:pPr>
    </w:lvl>
    <w:lvl w:ilvl="1" w:tplc="7ECE326A">
      <w:start w:val="1"/>
      <w:numFmt w:val="decimal"/>
      <w:lvlText w:val="%2."/>
      <w:lvlJc w:val="left"/>
      <w:pPr>
        <w:ind w:left="1440" w:hanging="1080"/>
      </w:pPr>
    </w:lvl>
    <w:lvl w:ilvl="2" w:tplc="92E024EA">
      <w:start w:val="1"/>
      <w:numFmt w:val="decimal"/>
      <w:lvlText w:val="%3."/>
      <w:lvlJc w:val="left"/>
      <w:pPr>
        <w:ind w:left="2160" w:hanging="1980"/>
      </w:pPr>
    </w:lvl>
    <w:lvl w:ilvl="3" w:tplc="937EB5AE">
      <w:start w:val="1"/>
      <w:numFmt w:val="decimal"/>
      <w:lvlText w:val="%4."/>
      <w:lvlJc w:val="left"/>
      <w:pPr>
        <w:ind w:left="2880" w:hanging="2520"/>
      </w:pPr>
    </w:lvl>
    <w:lvl w:ilvl="4" w:tplc="7D22FE3C">
      <w:start w:val="1"/>
      <w:numFmt w:val="decimal"/>
      <w:lvlText w:val="%5."/>
      <w:lvlJc w:val="left"/>
      <w:pPr>
        <w:ind w:left="3600" w:hanging="3240"/>
      </w:pPr>
    </w:lvl>
    <w:lvl w:ilvl="5" w:tplc="E88CCDD0">
      <w:start w:val="1"/>
      <w:numFmt w:val="decimal"/>
      <w:lvlText w:val="%6."/>
      <w:lvlJc w:val="left"/>
      <w:pPr>
        <w:ind w:left="4320" w:hanging="4140"/>
      </w:pPr>
    </w:lvl>
    <w:lvl w:ilvl="6" w:tplc="522E290C">
      <w:start w:val="1"/>
      <w:numFmt w:val="decimal"/>
      <w:lvlText w:val="%7."/>
      <w:lvlJc w:val="left"/>
      <w:pPr>
        <w:ind w:left="5040" w:hanging="4680"/>
      </w:pPr>
    </w:lvl>
    <w:lvl w:ilvl="7" w:tplc="FE96600A">
      <w:start w:val="1"/>
      <w:numFmt w:val="decimal"/>
      <w:lvlText w:val="%8."/>
      <w:lvlJc w:val="left"/>
      <w:pPr>
        <w:ind w:left="5760" w:hanging="5400"/>
      </w:pPr>
    </w:lvl>
    <w:lvl w:ilvl="8" w:tplc="BF849D98">
      <w:start w:val="1"/>
      <w:numFmt w:val="decimal"/>
      <w:lvlText w:val="%9."/>
      <w:lvlJc w:val="left"/>
      <w:pPr>
        <w:ind w:left="6480" w:hanging="6300"/>
      </w:pPr>
    </w:lvl>
  </w:abstractNum>
  <w:abstractNum w:abstractNumId="6">
    <w:nsid w:val="37C84069"/>
    <w:multiLevelType w:val="hybridMultilevel"/>
    <w:tmpl w:val="0E8A49AC"/>
    <w:lvl w:ilvl="0" w:tplc="C6CC0D52">
      <w:start w:val="1"/>
      <w:numFmt w:val="decimal"/>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3ADC5680"/>
    <w:multiLevelType w:val="hybridMultilevel"/>
    <w:tmpl w:val="00000000"/>
    <w:lvl w:ilvl="0" w:tplc="27EA9698">
      <w:start w:val="1"/>
      <w:numFmt w:val="bullet"/>
      <w:lvlText w:val=""/>
      <w:lvlJc w:val="left"/>
      <w:pPr>
        <w:ind w:left="1854" w:hanging="360"/>
      </w:pPr>
      <w:rPr>
        <w:rFonts w:ascii="Symbol" w:hAnsi="Symbol"/>
      </w:rPr>
    </w:lvl>
    <w:lvl w:ilvl="1" w:tplc="D17AE086">
      <w:start w:val="1"/>
      <w:numFmt w:val="bullet"/>
      <w:lvlText w:val="o"/>
      <w:lvlJc w:val="left"/>
      <w:pPr>
        <w:ind w:left="2574" w:hanging="360"/>
      </w:pPr>
      <w:rPr>
        <w:rFonts w:ascii="Courier New" w:hAnsi="Courier New"/>
      </w:rPr>
    </w:lvl>
    <w:lvl w:ilvl="2" w:tplc="23C6E1B2">
      <w:start w:val="1"/>
      <w:numFmt w:val="bullet"/>
      <w:lvlText w:val=""/>
      <w:lvlJc w:val="left"/>
      <w:pPr>
        <w:ind w:left="3294" w:hanging="360"/>
      </w:pPr>
      <w:rPr>
        <w:rFonts w:ascii="Wingdings" w:hAnsi="Wingdings"/>
      </w:rPr>
    </w:lvl>
    <w:lvl w:ilvl="3" w:tplc="F53E049E">
      <w:start w:val="1"/>
      <w:numFmt w:val="bullet"/>
      <w:lvlText w:val=""/>
      <w:lvlJc w:val="left"/>
      <w:pPr>
        <w:ind w:left="4014" w:hanging="360"/>
      </w:pPr>
      <w:rPr>
        <w:rFonts w:ascii="Symbol" w:hAnsi="Symbol"/>
      </w:rPr>
    </w:lvl>
    <w:lvl w:ilvl="4" w:tplc="8B6E6556">
      <w:start w:val="1"/>
      <w:numFmt w:val="bullet"/>
      <w:lvlText w:val="o"/>
      <w:lvlJc w:val="left"/>
      <w:pPr>
        <w:ind w:left="4734" w:hanging="360"/>
      </w:pPr>
      <w:rPr>
        <w:rFonts w:ascii="Courier New" w:hAnsi="Courier New"/>
      </w:rPr>
    </w:lvl>
    <w:lvl w:ilvl="5" w:tplc="29EE1590">
      <w:start w:val="1"/>
      <w:numFmt w:val="bullet"/>
      <w:lvlText w:val=""/>
      <w:lvlJc w:val="left"/>
      <w:pPr>
        <w:ind w:left="5454" w:hanging="360"/>
      </w:pPr>
      <w:rPr>
        <w:rFonts w:ascii="Wingdings" w:hAnsi="Wingdings"/>
      </w:rPr>
    </w:lvl>
    <w:lvl w:ilvl="6" w:tplc="75CEF0FE">
      <w:start w:val="1"/>
      <w:numFmt w:val="bullet"/>
      <w:lvlText w:val=""/>
      <w:lvlJc w:val="left"/>
      <w:pPr>
        <w:ind w:left="6174" w:hanging="360"/>
      </w:pPr>
      <w:rPr>
        <w:rFonts w:ascii="Symbol" w:hAnsi="Symbol"/>
      </w:rPr>
    </w:lvl>
    <w:lvl w:ilvl="7" w:tplc="F252BE36">
      <w:start w:val="1"/>
      <w:numFmt w:val="bullet"/>
      <w:lvlText w:val="o"/>
      <w:lvlJc w:val="left"/>
      <w:pPr>
        <w:ind w:left="6894" w:hanging="360"/>
      </w:pPr>
      <w:rPr>
        <w:rFonts w:ascii="Courier New" w:hAnsi="Courier New"/>
      </w:rPr>
    </w:lvl>
    <w:lvl w:ilvl="8" w:tplc="ADE00D3A">
      <w:start w:val="1"/>
      <w:numFmt w:val="bullet"/>
      <w:lvlText w:val=""/>
      <w:lvlJc w:val="left"/>
      <w:pPr>
        <w:ind w:left="7614" w:hanging="360"/>
      </w:pPr>
      <w:rPr>
        <w:rFonts w:ascii="Wingdings" w:hAnsi="Wingdings"/>
      </w:rPr>
    </w:lvl>
  </w:abstractNum>
  <w:abstractNum w:abstractNumId="8">
    <w:nsid w:val="3D2D39EE"/>
    <w:multiLevelType w:val="hybridMultilevel"/>
    <w:tmpl w:val="00000000"/>
    <w:lvl w:ilvl="0" w:tplc="3420F924">
      <w:numFmt w:val="bullet"/>
      <w:lvlText w:val=""/>
      <w:lvlJc w:val="left"/>
      <w:pPr>
        <w:ind w:left="927" w:hanging="360"/>
      </w:pPr>
      <w:rPr>
        <w:rFonts w:ascii="Symbol" w:eastAsia="Calibri" w:hAnsi="Symbol" w:cs="Times New Roman"/>
      </w:rPr>
    </w:lvl>
    <w:lvl w:ilvl="1" w:tplc="8FDC5BE2">
      <w:start w:val="1"/>
      <w:numFmt w:val="bullet"/>
      <w:lvlText w:val="o"/>
      <w:lvlJc w:val="left"/>
      <w:pPr>
        <w:ind w:left="1647" w:hanging="360"/>
      </w:pPr>
      <w:rPr>
        <w:rFonts w:ascii="Courier New" w:hAnsi="Courier New" w:cs="Courier New"/>
      </w:rPr>
    </w:lvl>
    <w:lvl w:ilvl="2" w:tplc="510CA3D8">
      <w:start w:val="1"/>
      <w:numFmt w:val="bullet"/>
      <w:lvlText w:val=""/>
      <w:lvlJc w:val="left"/>
      <w:pPr>
        <w:ind w:left="2367" w:hanging="360"/>
      </w:pPr>
      <w:rPr>
        <w:rFonts w:ascii="Wingdings" w:hAnsi="Wingdings"/>
      </w:rPr>
    </w:lvl>
    <w:lvl w:ilvl="3" w:tplc="FEE2B32E">
      <w:start w:val="1"/>
      <w:numFmt w:val="bullet"/>
      <w:lvlText w:val=""/>
      <w:lvlJc w:val="left"/>
      <w:pPr>
        <w:ind w:left="3087" w:hanging="360"/>
      </w:pPr>
      <w:rPr>
        <w:rFonts w:ascii="Symbol" w:hAnsi="Symbol"/>
      </w:rPr>
    </w:lvl>
    <w:lvl w:ilvl="4" w:tplc="8D22DAEE">
      <w:start w:val="1"/>
      <w:numFmt w:val="bullet"/>
      <w:lvlText w:val="o"/>
      <w:lvlJc w:val="left"/>
      <w:pPr>
        <w:ind w:left="3807" w:hanging="360"/>
      </w:pPr>
      <w:rPr>
        <w:rFonts w:ascii="Courier New" w:hAnsi="Courier New" w:cs="Courier New"/>
      </w:rPr>
    </w:lvl>
    <w:lvl w:ilvl="5" w:tplc="84A8B036">
      <w:start w:val="1"/>
      <w:numFmt w:val="bullet"/>
      <w:lvlText w:val=""/>
      <w:lvlJc w:val="left"/>
      <w:pPr>
        <w:ind w:left="4527" w:hanging="360"/>
      </w:pPr>
      <w:rPr>
        <w:rFonts w:ascii="Wingdings" w:hAnsi="Wingdings"/>
      </w:rPr>
    </w:lvl>
    <w:lvl w:ilvl="6" w:tplc="BE1CB54E">
      <w:start w:val="1"/>
      <w:numFmt w:val="bullet"/>
      <w:lvlText w:val=""/>
      <w:lvlJc w:val="left"/>
      <w:pPr>
        <w:ind w:left="5247" w:hanging="360"/>
      </w:pPr>
      <w:rPr>
        <w:rFonts w:ascii="Symbol" w:hAnsi="Symbol"/>
      </w:rPr>
    </w:lvl>
    <w:lvl w:ilvl="7" w:tplc="24B48084">
      <w:start w:val="1"/>
      <w:numFmt w:val="bullet"/>
      <w:lvlText w:val="o"/>
      <w:lvlJc w:val="left"/>
      <w:pPr>
        <w:ind w:left="5967" w:hanging="360"/>
      </w:pPr>
      <w:rPr>
        <w:rFonts w:ascii="Courier New" w:hAnsi="Courier New" w:cs="Courier New"/>
      </w:rPr>
    </w:lvl>
    <w:lvl w:ilvl="8" w:tplc="CB3C6FBA">
      <w:start w:val="1"/>
      <w:numFmt w:val="bullet"/>
      <w:lvlText w:val=""/>
      <w:lvlJc w:val="left"/>
      <w:pPr>
        <w:ind w:left="6687" w:hanging="360"/>
      </w:pPr>
      <w:rPr>
        <w:rFonts w:ascii="Wingdings" w:hAnsi="Wingdings"/>
      </w:rPr>
    </w:lvl>
  </w:abstractNum>
  <w:abstractNum w:abstractNumId="9">
    <w:nsid w:val="3E882EC4"/>
    <w:multiLevelType w:val="hybridMultilevel"/>
    <w:tmpl w:val="00000000"/>
    <w:lvl w:ilvl="0" w:tplc="8ECCB764">
      <w:start w:val="1"/>
      <w:numFmt w:val="bullet"/>
      <w:lvlText w:val=""/>
      <w:lvlJc w:val="left"/>
      <w:pPr>
        <w:ind w:left="1281" w:hanging="360"/>
      </w:pPr>
      <w:rPr>
        <w:rFonts w:ascii="Symbol" w:hAnsi="Symbol"/>
      </w:rPr>
    </w:lvl>
    <w:lvl w:ilvl="1" w:tplc="F740F8C8">
      <w:start w:val="1"/>
      <w:numFmt w:val="bullet"/>
      <w:lvlText w:val="o"/>
      <w:lvlJc w:val="left"/>
      <w:pPr>
        <w:ind w:left="2001" w:hanging="360"/>
      </w:pPr>
      <w:rPr>
        <w:rFonts w:ascii="Courier New" w:hAnsi="Courier New" w:cs="Courier New"/>
      </w:rPr>
    </w:lvl>
    <w:lvl w:ilvl="2" w:tplc="BC0A8252">
      <w:start w:val="1"/>
      <w:numFmt w:val="bullet"/>
      <w:lvlText w:val=""/>
      <w:lvlJc w:val="left"/>
      <w:pPr>
        <w:ind w:left="2721" w:hanging="360"/>
      </w:pPr>
      <w:rPr>
        <w:rFonts w:ascii="Wingdings" w:hAnsi="Wingdings"/>
      </w:rPr>
    </w:lvl>
    <w:lvl w:ilvl="3" w:tplc="0CA8C658">
      <w:start w:val="1"/>
      <w:numFmt w:val="bullet"/>
      <w:lvlText w:val=""/>
      <w:lvlJc w:val="left"/>
      <w:pPr>
        <w:ind w:left="3441" w:hanging="360"/>
      </w:pPr>
      <w:rPr>
        <w:rFonts w:ascii="Symbol" w:hAnsi="Symbol"/>
      </w:rPr>
    </w:lvl>
    <w:lvl w:ilvl="4" w:tplc="BE068C94">
      <w:start w:val="1"/>
      <w:numFmt w:val="bullet"/>
      <w:lvlText w:val="o"/>
      <w:lvlJc w:val="left"/>
      <w:pPr>
        <w:ind w:left="4161" w:hanging="360"/>
      </w:pPr>
      <w:rPr>
        <w:rFonts w:ascii="Courier New" w:hAnsi="Courier New" w:cs="Courier New"/>
      </w:rPr>
    </w:lvl>
    <w:lvl w:ilvl="5" w:tplc="97F28DB8">
      <w:start w:val="1"/>
      <w:numFmt w:val="bullet"/>
      <w:lvlText w:val=""/>
      <w:lvlJc w:val="left"/>
      <w:pPr>
        <w:ind w:left="4881" w:hanging="360"/>
      </w:pPr>
      <w:rPr>
        <w:rFonts w:ascii="Wingdings" w:hAnsi="Wingdings"/>
      </w:rPr>
    </w:lvl>
    <w:lvl w:ilvl="6" w:tplc="55A40734">
      <w:start w:val="1"/>
      <w:numFmt w:val="bullet"/>
      <w:lvlText w:val=""/>
      <w:lvlJc w:val="left"/>
      <w:pPr>
        <w:ind w:left="5601" w:hanging="360"/>
      </w:pPr>
      <w:rPr>
        <w:rFonts w:ascii="Symbol" w:hAnsi="Symbol"/>
      </w:rPr>
    </w:lvl>
    <w:lvl w:ilvl="7" w:tplc="A46EC0D8">
      <w:start w:val="1"/>
      <w:numFmt w:val="bullet"/>
      <w:lvlText w:val="o"/>
      <w:lvlJc w:val="left"/>
      <w:pPr>
        <w:ind w:left="6321" w:hanging="360"/>
      </w:pPr>
      <w:rPr>
        <w:rFonts w:ascii="Courier New" w:hAnsi="Courier New" w:cs="Courier New"/>
      </w:rPr>
    </w:lvl>
    <w:lvl w:ilvl="8" w:tplc="A6129960">
      <w:start w:val="1"/>
      <w:numFmt w:val="bullet"/>
      <w:lvlText w:val=""/>
      <w:lvlJc w:val="left"/>
      <w:pPr>
        <w:ind w:left="7041" w:hanging="360"/>
      </w:pPr>
      <w:rPr>
        <w:rFonts w:ascii="Wingdings" w:hAnsi="Wingdings"/>
      </w:rPr>
    </w:lvl>
  </w:abstractNum>
  <w:abstractNum w:abstractNumId="10">
    <w:nsid w:val="3E894A1B"/>
    <w:multiLevelType w:val="multilevel"/>
    <w:tmpl w:val="85EE8A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5A063F"/>
    <w:multiLevelType w:val="singleLevel"/>
    <w:tmpl w:val="00000000"/>
    <w:lvl w:ilvl="0">
      <w:start w:val="1"/>
      <w:numFmt w:val="decimal"/>
      <w:lvlText w:val="%1."/>
      <w:lvlJc w:val="left"/>
      <w:pPr>
        <w:ind w:left="360" w:hanging="360"/>
      </w:pPr>
    </w:lvl>
  </w:abstractNum>
  <w:abstractNum w:abstractNumId="12">
    <w:nsid w:val="43A14AE7"/>
    <w:multiLevelType w:val="hybridMultilevel"/>
    <w:tmpl w:val="00000000"/>
    <w:lvl w:ilvl="0" w:tplc="60E251A8">
      <w:start w:val="1"/>
      <w:numFmt w:val="bullet"/>
      <w:lvlText w:val=""/>
      <w:lvlJc w:val="left"/>
      <w:pPr>
        <w:ind w:left="1854" w:hanging="360"/>
      </w:pPr>
      <w:rPr>
        <w:rFonts w:ascii="Symbol" w:hAnsi="Symbol"/>
      </w:rPr>
    </w:lvl>
    <w:lvl w:ilvl="1" w:tplc="0396E264">
      <w:start w:val="1"/>
      <w:numFmt w:val="bullet"/>
      <w:lvlText w:val="o"/>
      <w:lvlJc w:val="left"/>
      <w:pPr>
        <w:ind w:left="2574" w:hanging="360"/>
      </w:pPr>
      <w:rPr>
        <w:rFonts w:ascii="Courier New" w:hAnsi="Courier New" w:cs="Courier New"/>
      </w:rPr>
    </w:lvl>
    <w:lvl w:ilvl="2" w:tplc="BDF4B468">
      <w:start w:val="1"/>
      <w:numFmt w:val="bullet"/>
      <w:lvlText w:val=""/>
      <w:lvlJc w:val="left"/>
      <w:pPr>
        <w:ind w:left="3294" w:hanging="360"/>
      </w:pPr>
      <w:rPr>
        <w:rFonts w:ascii="Wingdings" w:hAnsi="Wingdings"/>
      </w:rPr>
    </w:lvl>
    <w:lvl w:ilvl="3" w:tplc="9718E4C0">
      <w:start w:val="1"/>
      <w:numFmt w:val="bullet"/>
      <w:lvlText w:val=""/>
      <w:lvlJc w:val="left"/>
      <w:pPr>
        <w:ind w:left="4014" w:hanging="360"/>
      </w:pPr>
      <w:rPr>
        <w:rFonts w:ascii="Symbol" w:hAnsi="Symbol"/>
      </w:rPr>
    </w:lvl>
    <w:lvl w:ilvl="4" w:tplc="1F7C3F26">
      <w:start w:val="1"/>
      <w:numFmt w:val="bullet"/>
      <w:lvlText w:val="o"/>
      <w:lvlJc w:val="left"/>
      <w:pPr>
        <w:ind w:left="4734" w:hanging="360"/>
      </w:pPr>
      <w:rPr>
        <w:rFonts w:ascii="Courier New" w:hAnsi="Courier New" w:cs="Courier New"/>
      </w:rPr>
    </w:lvl>
    <w:lvl w:ilvl="5" w:tplc="1CAC6852">
      <w:start w:val="1"/>
      <w:numFmt w:val="bullet"/>
      <w:lvlText w:val=""/>
      <w:lvlJc w:val="left"/>
      <w:pPr>
        <w:ind w:left="5454" w:hanging="360"/>
      </w:pPr>
      <w:rPr>
        <w:rFonts w:ascii="Wingdings" w:hAnsi="Wingdings"/>
      </w:rPr>
    </w:lvl>
    <w:lvl w:ilvl="6" w:tplc="9772922C">
      <w:start w:val="1"/>
      <w:numFmt w:val="bullet"/>
      <w:lvlText w:val=""/>
      <w:lvlJc w:val="left"/>
      <w:pPr>
        <w:ind w:left="6174" w:hanging="360"/>
      </w:pPr>
      <w:rPr>
        <w:rFonts w:ascii="Symbol" w:hAnsi="Symbol"/>
      </w:rPr>
    </w:lvl>
    <w:lvl w:ilvl="7" w:tplc="386CCEFE">
      <w:start w:val="1"/>
      <w:numFmt w:val="bullet"/>
      <w:lvlText w:val="o"/>
      <w:lvlJc w:val="left"/>
      <w:pPr>
        <w:ind w:left="6894" w:hanging="360"/>
      </w:pPr>
      <w:rPr>
        <w:rFonts w:ascii="Courier New" w:hAnsi="Courier New" w:cs="Courier New"/>
      </w:rPr>
    </w:lvl>
    <w:lvl w:ilvl="8" w:tplc="968857E6">
      <w:start w:val="1"/>
      <w:numFmt w:val="bullet"/>
      <w:lvlText w:val=""/>
      <w:lvlJc w:val="left"/>
      <w:pPr>
        <w:ind w:left="7614" w:hanging="360"/>
      </w:pPr>
      <w:rPr>
        <w:rFonts w:ascii="Wingdings" w:hAnsi="Wingdings"/>
      </w:rPr>
    </w:lvl>
  </w:abstractNum>
  <w:abstractNum w:abstractNumId="13">
    <w:nsid w:val="565B371C"/>
    <w:multiLevelType w:val="hybridMultilevel"/>
    <w:tmpl w:val="F17E14E0"/>
    <w:lvl w:ilvl="0" w:tplc="2278C376">
      <w:start w:val="1"/>
      <w:numFmt w:val="decimal"/>
      <w:lvlText w:val="%1."/>
      <w:lvlJc w:val="left"/>
      <w:pPr>
        <w:ind w:left="360" w:hanging="360"/>
      </w:pPr>
      <w:rPr>
        <w:rFonts w:eastAsia="Calibri"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56E14396"/>
    <w:multiLevelType w:val="hybridMultilevel"/>
    <w:tmpl w:val="C546A3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9525EA"/>
    <w:multiLevelType w:val="hybridMultilevel"/>
    <w:tmpl w:val="8826BC8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nsid w:val="5CC94A65"/>
    <w:multiLevelType w:val="hybridMultilevel"/>
    <w:tmpl w:val="4D3C7084"/>
    <w:lvl w:ilvl="0" w:tplc="FA24ECA8">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nsid w:val="671A165A"/>
    <w:multiLevelType w:val="hybridMultilevel"/>
    <w:tmpl w:val="00000000"/>
    <w:lvl w:ilvl="0" w:tplc="E69A24C0">
      <w:start w:val="1"/>
      <w:numFmt w:val="decimal"/>
      <w:lvlText w:val="%1)"/>
      <w:lvlJc w:val="left"/>
      <w:pPr>
        <w:ind w:left="927" w:hanging="360"/>
      </w:pPr>
    </w:lvl>
    <w:lvl w:ilvl="1" w:tplc="51187160">
      <w:start w:val="1"/>
      <w:numFmt w:val="lowerLetter"/>
      <w:lvlText w:val="%2."/>
      <w:lvlJc w:val="left"/>
      <w:pPr>
        <w:ind w:left="1647" w:hanging="360"/>
      </w:pPr>
    </w:lvl>
    <w:lvl w:ilvl="2" w:tplc="FBFC7D6C">
      <w:start w:val="1"/>
      <w:numFmt w:val="lowerRoman"/>
      <w:lvlText w:val="%3."/>
      <w:lvlJc w:val="right"/>
      <w:pPr>
        <w:ind w:left="2367" w:hanging="180"/>
      </w:pPr>
    </w:lvl>
    <w:lvl w:ilvl="3" w:tplc="3F5C3C4A">
      <w:start w:val="1"/>
      <w:numFmt w:val="decimal"/>
      <w:lvlText w:val="%4."/>
      <w:lvlJc w:val="left"/>
      <w:pPr>
        <w:ind w:left="3087" w:hanging="360"/>
      </w:pPr>
    </w:lvl>
    <w:lvl w:ilvl="4" w:tplc="487E64EC">
      <w:start w:val="1"/>
      <w:numFmt w:val="lowerLetter"/>
      <w:lvlText w:val="%5."/>
      <w:lvlJc w:val="left"/>
      <w:pPr>
        <w:ind w:left="3807" w:hanging="360"/>
      </w:pPr>
    </w:lvl>
    <w:lvl w:ilvl="5" w:tplc="21844958">
      <w:start w:val="1"/>
      <w:numFmt w:val="lowerRoman"/>
      <w:lvlText w:val="%6."/>
      <w:lvlJc w:val="right"/>
      <w:pPr>
        <w:ind w:left="4527" w:hanging="180"/>
      </w:pPr>
    </w:lvl>
    <w:lvl w:ilvl="6" w:tplc="04408BF0">
      <w:start w:val="1"/>
      <w:numFmt w:val="decimal"/>
      <w:lvlText w:val="%7."/>
      <w:lvlJc w:val="left"/>
      <w:pPr>
        <w:ind w:left="5247" w:hanging="360"/>
      </w:pPr>
    </w:lvl>
    <w:lvl w:ilvl="7" w:tplc="102EF758">
      <w:start w:val="1"/>
      <w:numFmt w:val="lowerLetter"/>
      <w:lvlText w:val="%8."/>
      <w:lvlJc w:val="left"/>
      <w:pPr>
        <w:ind w:left="5967" w:hanging="360"/>
      </w:pPr>
    </w:lvl>
    <w:lvl w:ilvl="8" w:tplc="AE94F49E">
      <w:start w:val="1"/>
      <w:numFmt w:val="lowerRoman"/>
      <w:lvlText w:val="%9."/>
      <w:lvlJc w:val="right"/>
      <w:pPr>
        <w:ind w:left="6687" w:hanging="180"/>
      </w:pPr>
    </w:lvl>
  </w:abstractNum>
  <w:abstractNum w:abstractNumId="18">
    <w:nsid w:val="69D135C2"/>
    <w:multiLevelType w:val="hybridMultilevel"/>
    <w:tmpl w:val="0D0E14E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6C4842D5"/>
    <w:multiLevelType w:val="hybridMultilevel"/>
    <w:tmpl w:val="00000000"/>
    <w:lvl w:ilvl="0" w:tplc="9A3A0C9A">
      <w:start w:val="1"/>
      <w:numFmt w:val="bullet"/>
      <w:lvlText w:val=""/>
      <w:lvlJc w:val="left"/>
      <w:pPr>
        <w:ind w:left="720" w:hanging="360"/>
      </w:pPr>
      <w:rPr>
        <w:rFonts w:ascii="Symbol" w:hAnsi="Symbol"/>
      </w:rPr>
    </w:lvl>
    <w:lvl w:ilvl="1" w:tplc="E286E35E">
      <w:start w:val="1"/>
      <w:numFmt w:val="bullet"/>
      <w:lvlText w:val="o"/>
      <w:lvlJc w:val="left"/>
      <w:pPr>
        <w:ind w:left="1440" w:hanging="360"/>
      </w:pPr>
      <w:rPr>
        <w:rFonts w:ascii="Courier New" w:hAnsi="Courier New" w:cs="Courier New"/>
      </w:rPr>
    </w:lvl>
    <w:lvl w:ilvl="2" w:tplc="3CE0DC54">
      <w:start w:val="1"/>
      <w:numFmt w:val="bullet"/>
      <w:lvlText w:val=""/>
      <w:lvlJc w:val="left"/>
      <w:pPr>
        <w:ind w:left="2160" w:hanging="360"/>
      </w:pPr>
      <w:rPr>
        <w:rFonts w:ascii="Wingdings" w:hAnsi="Wingdings"/>
      </w:rPr>
    </w:lvl>
    <w:lvl w:ilvl="3" w:tplc="13144FE2">
      <w:start w:val="1"/>
      <w:numFmt w:val="bullet"/>
      <w:lvlText w:val=""/>
      <w:lvlJc w:val="left"/>
      <w:pPr>
        <w:ind w:left="2880" w:hanging="360"/>
      </w:pPr>
      <w:rPr>
        <w:rFonts w:ascii="Symbol" w:hAnsi="Symbol"/>
      </w:rPr>
    </w:lvl>
    <w:lvl w:ilvl="4" w:tplc="03065DC8">
      <w:start w:val="1"/>
      <w:numFmt w:val="bullet"/>
      <w:lvlText w:val="o"/>
      <w:lvlJc w:val="left"/>
      <w:pPr>
        <w:ind w:left="3600" w:hanging="360"/>
      </w:pPr>
      <w:rPr>
        <w:rFonts w:ascii="Courier New" w:hAnsi="Courier New" w:cs="Courier New"/>
      </w:rPr>
    </w:lvl>
    <w:lvl w:ilvl="5" w:tplc="37DC7638">
      <w:start w:val="1"/>
      <w:numFmt w:val="bullet"/>
      <w:lvlText w:val=""/>
      <w:lvlJc w:val="left"/>
      <w:pPr>
        <w:ind w:left="4320" w:hanging="360"/>
      </w:pPr>
      <w:rPr>
        <w:rFonts w:ascii="Wingdings" w:hAnsi="Wingdings"/>
      </w:rPr>
    </w:lvl>
    <w:lvl w:ilvl="6" w:tplc="C582BF86">
      <w:start w:val="1"/>
      <w:numFmt w:val="bullet"/>
      <w:lvlText w:val=""/>
      <w:lvlJc w:val="left"/>
      <w:pPr>
        <w:ind w:left="5040" w:hanging="360"/>
      </w:pPr>
      <w:rPr>
        <w:rFonts w:ascii="Symbol" w:hAnsi="Symbol"/>
      </w:rPr>
    </w:lvl>
    <w:lvl w:ilvl="7" w:tplc="0EE8350E">
      <w:start w:val="1"/>
      <w:numFmt w:val="bullet"/>
      <w:lvlText w:val="o"/>
      <w:lvlJc w:val="left"/>
      <w:pPr>
        <w:ind w:left="5760" w:hanging="360"/>
      </w:pPr>
      <w:rPr>
        <w:rFonts w:ascii="Courier New" w:hAnsi="Courier New" w:cs="Courier New"/>
      </w:rPr>
    </w:lvl>
    <w:lvl w:ilvl="8" w:tplc="B3CAC4D4">
      <w:start w:val="1"/>
      <w:numFmt w:val="bullet"/>
      <w:lvlText w:val=""/>
      <w:lvlJc w:val="left"/>
      <w:pPr>
        <w:ind w:left="6480" w:hanging="360"/>
      </w:pPr>
      <w:rPr>
        <w:rFonts w:ascii="Wingdings" w:hAnsi="Wingdings"/>
      </w:rPr>
    </w:lvl>
  </w:abstractNum>
  <w:abstractNum w:abstractNumId="20">
    <w:nsid w:val="756C0C08"/>
    <w:multiLevelType w:val="hybridMultilevel"/>
    <w:tmpl w:val="685C336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7CD66860"/>
    <w:multiLevelType w:val="singleLevel"/>
    <w:tmpl w:val="00000000"/>
    <w:lvl w:ilvl="0">
      <w:start w:val="1"/>
      <w:numFmt w:val="decimal"/>
      <w:lvlText w:val="%1.. "/>
      <w:lvlJc w:val="left"/>
      <w:pPr>
        <w:ind w:left="1417" w:hanging="283"/>
      </w:pPr>
      <w:rPr>
        <w:rFonts w:ascii="Courier New" w:hAnsi="Courier New"/>
        <w:b/>
        <w:i w:val="0"/>
        <w:sz w:val="20"/>
      </w:rPr>
    </w:lvl>
  </w:abstractNum>
  <w:num w:numId="1">
    <w:abstractNumId w:val="11"/>
  </w:num>
  <w:num w:numId="2">
    <w:abstractNumId w:val="8"/>
  </w:num>
  <w:num w:numId="3">
    <w:abstractNumId w:val="1"/>
  </w:num>
  <w:num w:numId="4">
    <w:abstractNumId w:val="21"/>
  </w:num>
  <w:num w:numId="5">
    <w:abstractNumId w:val="12"/>
  </w:num>
  <w:num w:numId="6">
    <w:abstractNumId w:val="7"/>
  </w:num>
  <w:num w:numId="7">
    <w:abstractNumId w:val="0"/>
  </w:num>
  <w:num w:numId="8">
    <w:abstractNumId w:val="19"/>
  </w:num>
  <w:num w:numId="9">
    <w:abstractNumId w:val="17"/>
  </w:num>
  <w:num w:numId="10">
    <w:abstractNumId w:val="9"/>
  </w:num>
  <w:num w:numId="11">
    <w:abstractNumId w:val="16"/>
  </w:num>
  <w:num w:numId="12">
    <w:abstractNumId w:val="6"/>
  </w:num>
  <w:num w:numId="13">
    <w:abstractNumId w:val="18"/>
  </w:num>
  <w:num w:numId="14">
    <w:abstractNumId w:val="20"/>
  </w:num>
  <w:num w:numId="15">
    <w:abstractNumId w:val="15"/>
  </w:num>
  <w:num w:numId="16">
    <w:abstractNumId w:val="4"/>
  </w:num>
  <w:num w:numId="17">
    <w:abstractNumId w:val="13"/>
  </w:num>
  <w:num w:numId="18">
    <w:abstractNumId w:val="2"/>
  </w:num>
  <w:num w:numId="19">
    <w:abstractNumId w:val="3"/>
  </w:num>
  <w:num w:numId="20">
    <w:abstractNumId w:val="5"/>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activeWritingStyle w:appName="MSWord" w:lang="pt-BR" w:vendorID="1" w:dllVersion="513" w:checkStyle="1"/>
  <w:stylePaneFormatFilter w:val="1021"/>
  <w:doNotTrackMoves/>
  <w:defaultTabStop w:val="720"/>
  <w:hyphenationZone w:val="425"/>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1145"/>
    <w:rsid w:val="000007ED"/>
    <w:rsid w:val="00011B90"/>
    <w:rsid w:val="000360EC"/>
    <w:rsid w:val="00057996"/>
    <w:rsid w:val="00057F8D"/>
    <w:rsid w:val="000B3C5D"/>
    <w:rsid w:val="000C0160"/>
    <w:rsid w:val="000F15EE"/>
    <w:rsid w:val="00133EA1"/>
    <w:rsid w:val="001354E3"/>
    <w:rsid w:val="001367E4"/>
    <w:rsid w:val="00136F0B"/>
    <w:rsid w:val="00141FAF"/>
    <w:rsid w:val="00142D48"/>
    <w:rsid w:val="00144B55"/>
    <w:rsid w:val="0015794F"/>
    <w:rsid w:val="00172F37"/>
    <w:rsid w:val="00195D34"/>
    <w:rsid w:val="001A033A"/>
    <w:rsid w:val="001A09F7"/>
    <w:rsid w:val="001E0A92"/>
    <w:rsid w:val="0021385A"/>
    <w:rsid w:val="00221AEA"/>
    <w:rsid w:val="00240131"/>
    <w:rsid w:val="0025761A"/>
    <w:rsid w:val="002A484E"/>
    <w:rsid w:val="002F5981"/>
    <w:rsid w:val="00303AFF"/>
    <w:rsid w:val="003354BD"/>
    <w:rsid w:val="00356F68"/>
    <w:rsid w:val="003678CB"/>
    <w:rsid w:val="00375291"/>
    <w:rsid w:val="00391CEE"/>
    <w:rsid w:val="003935DC"/>
    <w:rsid w:val="003B4F26"/>
    <w:rsid w:val="00400632"/>
    <w:rsid w:val="00401145"/>
    <w:rsid w:val="004026E7"/>
    <w:rsid w:val="00423B6D"/>
    <w:rsid w:val="00426CD2"/>
    <w:rsid w:val="00435460"/>
    <w:rsid w:val="004442B9"/>
    <w:rsid w:val="00445FCB"/>
    <w:rsid w:val="00477C54"/>
    <w:rsid w:val="004A2B9F"/>
    <w:rsid w:val="004A4BE7"/>
    <w:rsid w:val="004A7F24"/>
    <w:rsid w:val="004C1698"/>
    <w:rsid w:val="004D1535"/>
    <w:rsid w:val="00511E0A"/>
    <w:rsid w:val="0052593C"/>
    <w:rsid w:val="00561F70"/>
    <w:rsid w:val="00585111"/>
    <w:rsid w:val="005A20D0"/>
    <w:rsid w:val="005B6C83"/>
    <w:rsid w:val="005C1B4C"/>
    <w:rsid w:val="005C5F30"/>
    <w:rsid w:val="005E532E"/>
    <w:rsid w:val="005F1E46"/>
    <w:rsid w:val="00606CE8"/>
    <w:rsid w:val="00614A88"/>
    <w:rsid w:val="0062317B"/>
    <w:rsid w:val="00655E2B"/>
    <w:rsid w:val="006664A0"/>
    <w:rsid w:val="00671BD4"/>
    <w:rsid w:val="006A758F"/>
    <w:rsid w:val="006C4482"/>
    <w:rsid w:val="007365CF"/>
    <w:rsid w:val="0075357D"/>
    <w:rsid w:val="007609AD"/>
    <w:rsid w:val="00777AAC"/>
    <w:rsid w:val="00790410"/>
    <w:rsid w:val="007E5B11"/>
    <w:rsid w:val="00805406"/>
    <w:rsid w:val="008124B9"/>
    <w:rsid w:val="0084137E"/>
    <w:rsid w:val="008459AE"/>
    <w:rsid w:val="008531FF"/>
    <w:rsid w:val="008662F6"/>
    <w:rsid w:val="00873EC4"/>
    <w:rsid w:val="00883138"/>
    <w:rsid w:val="00891901"/>
    <w:rsid w:val="008F1223"/>
    <w:rsid w:val="008F58A5"/>
    <w:rsid w:val="0091236A"/>
    <w:rsid w:val="00915A6C"/>
    <w:rsid w:val="009337F0"/>
    <w:rsid w:val="0093776C"/>
    <w:rsid w:val="0097219B"/>
    <w:rsid w:val="009A56CC"/>
    <w:rsid w:val="009C0C30"/>
    <w:rsid w:val="009D4FA8"/>
    <w:rsid w:val="009D61E5"/>
    <w:rsid w:val="009F3FB7"/>
    <w:rsid w:val="00A00455"/>
    <w:rsid w:val="00A045BE"/>
    <w:rsid w:val="00A065D5"/>
    <w:rsid w:val="00A1350F"/>
    <w:rsid w:val="00A331B6"/>
    <w:rsid w:val="00A57227"/>
    <w:rsid w:val="00A77AA1"/>
    <w:rsid w:val="00A90FD1"/>
    <w:rsid w:val="00AC3C03"/>
    <w:rsid w:val="00AD5BEE"/>
    <w:rsid w:val="00B46286"/>
    <w:rsid w:val="00B83F6D"/>
    <w:rsid w:val="00B873AE"/>
    <w:rsid w:val="00B9414B"/>
    <w:rsid w:val="00B94B4A"/>
    <w:rsid w:val="00BB6D69"/>
    <w:rsid w:val="00BC01F2"/>
    <w:rsid w:val="00BD5A7D"/>
    <w:rsid w:val="00BF35DB"/>
    <w:rsid w:val="00C11120"/>
    <w:rsid w:val="00C30F50"/>
    <w:rsid w:val="00CA4C35"/>
    <w:rsid w:val="00CB0E64"/>
    <w:rsid w:val="00CB65BF"/>
    <w:rsid w:val="00CC43DC"/>
    <w:rsid w:val="00CE4098"/>
    <w:rsid w:val="00CF2779"/>
    <w:rsid w:val="00CF5E86"/>
    <w:rsid w:val="00D039EC"/>
    <w:rsid w:val="00D26107"/>
    <w:rsid w:val="00D7101E"/>
    <w:rsid w:val="00D77695"/>
    <w:rsid w:val="00D90A29"/>
    <w:rsid w:val="00D90BD8"/>
    <w:rsid w:val="00D93155"/>
    <w:rsid w:val="00DB025E"/>
    <w:rsid w:val="00DC3E8D"/>
    <w:rsid w:val="00DD0BAE"/>
    <w:rsid w:val="00DD2E1A"/>
    <w:rsid w:val="00DE1409"/>
    <w:rsid w:val="00DE4769"/>
    <w:rsid w:val="00DE5688"/>
    <w:rsid w:val="00DF5D09"/>
    <w:rsid w:val="00E061CB"/>
    <w:rsid w:val="00E11B5E"/>
    <w:rsid w:val="00E21F0A"/>
    <w:rsid w:val="00E65BFF"/>
    <w:rsid w:val="00E84625"/>
    <w:rsid w:val="00F1755A"/>
    <w:rsid w:val="00F223CF"/>
    <w:rsid w:val="00F3536E"/>
    <w:rsid w:val="00F37056"/>
    <w:rsid w:val="00F661D1"/>
    <w:rsid w:val="00F94B34"/>
    <w:rsid w:val="00FC27A8"/>
    <w:rsid w:val="00FD3241"/>
    <w:rsid w:val="00FF16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qFormat="1"/>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qFormat="1"/>
    <w:lsdException w:name="footnote text" w:uiPriority="0"/>
    <w:lsdException w:name="index heading" w:uiPriority="0"/>
    <w:lsdException w:name="caption" w:semiHidden="0" w:uiPriority="35" w:unhideWhenUsed="0" w:qFormat="1"/>
    <w:lsdException w:name="envelope address" w:uiPriority="0"/>
    <w:lsdException w:name="envelope return" w:uiPriority="0"/>
    <w:lsdException w:name="line number" w:uiPriority="0"/>
    <w:lsdException w:name="endnote text" w:uiPriority="0"/>
    <w:lsdException w:name="table of authorities" w:uiPriority="0"/>
    <w:lsdException w:name="macro" w:uiPriority="0"/>
    <w:lsdException w:name="List Bullet 4" w:uiPriority="0"/>
    <w:lsdException w:name="List Number 4" w:uiPriority="0"/>
    <w:lsdException w:name="List Number 5" w:uiPriority="0"/>
    <w:lsdException w:name="Title" w:semiHidden="0" w:uiPriority="0" w:unhideWhenUsed="0"/>
    <w:lsdException w:name="Closing" w:uiPriority="0"/>
    <w:lsdException w:name="Default Paragraph Font" w:uiPriority="1"/>
    <w:lsdException w:name="Body Text Indent" w:uiPriority="0"/>
    <w:lsdException w:name="List Continue 4"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8A3"/>
    <w:pPr>
      <w:spacing w:line="276" w:lineRule="auto"/>
    </w:pPr>
    <w:rPr>
      <w:rFonts w:ascii="Arial" w:eastAsia="Arial" w:hAnsi="Arial" w:cs="Arial"/>
      <w:color w:val="000000"/>
      <w:sz w:val="22"/>
      <w:szCs w:val="22"/>
    </w:rPr>
  </w:style>
  <w:style w:type="paragraph" w:styleId="Ttulo1">
    <w:name w:val="heading 1"/>
    <w:basedOn w:val="Normal"/>
    <w:next w:val="Normal"/>
    <w:link w:val="Ttulo1Char1"/>
    <w:uiPriority w:val="9"/>
    <w:qFormat/>
    <w:rsid w:val="00F3536E"/>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D665F1"/>
    <w:pPr>
      <w:outlineLvl w:val="0"/>
    </w:pPr>
    <w:rPr>
      <w:b/>
      <w:szCs w:val="20"/>
    </w:rPr>
  </w:style>
  <w:style w:type="paragraph" w:customStyle="1" w:styleId="Heading2">
    <w:name w:val="Heading 2"/>
    <w:aliases w:val="referencia bibliografica"/>
    <w:basedOn w:val="Normal"/>
    <w:next w:val="RefernciaBibliogrfica"/>
    <w:link w:val="Ttulo2Char"/>
    <w:autoRedefine/>
    <w:qFormat/>
    <w:rsid w:val="00991E7E"/>
    <w:pPr>
      <w:spacing w:before="120" w:after="120" w:line="240" w:lineRule="auto"/>
      <w:outlineLvl w:val="1"/>
    </w:pPr>
    <w:rPr>
      <w:szCs w:val="20"/>
    </w:rPr>
  </w:style>
  <w:style w:type="paragraph" w:customStyle="1" w:styleId="Heading3">
    <w:name w:val="Heading 3"/>
    <w:basedOn w:val="Normal"/>
    <w:next w:val="Normal"/>
    <w:rsid w:val="009D013C"/>
    <w:pPr>
      <w:spacing w:before="240" w:after="60" w:line="480" w:lineRule="auto"/>
      <w:outlineLvl w:val="2"/>
    </w:pPr>
    <w:rPr>
      <w:b/>
      <w:szCs w:val="20"/>
    </w:rPr>
  </w:style>
  <w:style w:type="paragraph" w:customStyle="1" w:styleId="Heading4">
    <w:name w:val="Heading 4"/>
    <w:basedOn w:val="Normal"/>
    <w:next w:val="Normal"/>
    <w:rsid w:val="009D013C"/>
    <w:pPr>
      <w:ind w:firstLine="426"/>
      <w:outlineLvl w:val="3"/>
    </w:pPr>
    <w:rPr>
      <w:rFonts w:eastAsia="Arial Unicode MS"/>
      <w:b/>
      <w:szCs w:val="20"/>
    </w:rPr>
  </w:style>
  <w:style w:type="paragraph" w:customStyle="1" w:styleId="Heading5">
    <w:name w:val="Heading 5"/>
    <w:basedOn w:val="Normal"/>
    <w:next w:val="Normal"/>
    <w:rsid w:val="009D013C"/>
    <w:pPr>
      <w:ind w:left="283" w:hanging="283"/>
      <w:outlineLvl w:val="4"/>
    </w:pPr>
    <w:rPr>
      <w:rFonts w:eastAsia="Arial Unicode MS"/>
      <w:b/>
    </w:rPr>
  </w:style>
  <w:style w:type="paragraph" w:customStyle="1" w:styleId="Heading6">
    <w:name w:val="Heading 6"/>
    <w:basedOn w:val="Normal"/>
    <w:next w:val="Normal"/>
    <w:rsid w:val="009D013C"/>
    <w:pPr>
      <w:ind w:left="3402"/>
      <w:outlineLvl w:val="5"/>
    </w:pPr>
    <w:rPr>
      <w:b/>
    </w:rPr>
  </w:style>
  <w:style w:type="paragraph" w:customStyle="1" w:styleId="Heading7">
    <w:name w:val="Heading 7"/>
    <w:basedOn w:val="Normal"/>
    <w:next w:val="Normal"/>
    <w:rsid w:val="009D013C"/>
    <w:pPr>
      <w:jc w:val="center"/>
      <w:outlineLvl w:val="6"/>
    </w:pPr>
    <w:rPr>
      <w:b/>
      <w:szCs w:val="20"/>
    </w:rPr>
  </w:style>
  <w:style w:type="paragraph" w:customStyle="1" w:styleId="Heading8">
    <w:name w:val="Heading 8"/>
    <w:basedOn w:val="Normal"/>
    <w:next w:val="Normal"/>
    <w:rsid w:val="009D013C"/>
    <w:pPr>
      <w:spacing w:before="200"/>
      <w:outlineLvl w:val="7"/>
    </w:pPr>
    <w:rPr>
      <w:rFonts w:ascii="Cambria" w:hAnsi="Cambria"/>
      <w:color w:val="404040"/>
      <w:sz w:val="20"/>
      <w:szCs w:val="20"/>
    </w:rPr>
  </w:style>
  <w:style w:type="paragraph" w:customStyle="1" w:styleId="Heading9">
    <w:name w:val="Heading 9"/>
    <w:basedOn w:val="Normal"/>
    <w:next w:val="Normal"/>
    <w:qFormat/>
    <w:rsid w:val="009D013C"/>
    <w:pPr>
      <w:spacing w:line="480" w:lineRule="auto"/>
      <w:outlineLvl w:val="8"/>
    </w:pPr>
    <w:rPr>
      <w:szCs w:val="20"/>
    </w:rPr>
  </w:style>
  <w:style w:type="character" w:customStyle="1" w:styleId="Ttulo1Char">
    <w:name w:val="Título 1 Char"/>
    <w:basedOn w:val="Fontepargpadro"/>
    <w:link w:val="Heading1"/>
    <w:uiPriority w:val="9"/>
    <w:rsid w:val="00DB24FD"/>
    <w:rPr>
      <w:b/>
      <w:sz w:val="24"/>
    </w:rPr>
  </w:style>
  <w:style w:type="paragraph" w:customStyle="1" w:styleId="RefernciaBibliogrfica">
    <w:name w:val="Referência Bibliográfica"/>
    <w:basedOn w:val="CitaoLonga"/>
    <w:rsid w:val="009D013C"/>
    <w:pPr>
      <w:spacing w:after="120"/>
      <w:ind w:left="680" w:hanging="680"/>
    </w:pPr>
  </w:style>
  <w:style w:type="paragraph" w:customStyle="1" w:styleId="CitaoLonga">
    <w:name w:val="Citação Longa"/>
    <w:basedOn w:val="Normal"/>
    <w:next w:val="Fontedotexto"/>
    <w:rsid w:val="009D013C"/>
    <w:pPr>
      <w:spacing w:after="240"/>
      <w:ind w:left="2268"/>
    </w:pPr>
    <w:rPr>
      <w:szCs w:val="20"/>
    </w:rPr>
  </w:style>
  <w:style w:type="paragraph" w:customStyle="1" w:styleId="Fontedotexto">
    <w:name w:val="Fonte do texto"/>
    <w:basedOn w:val="Normal"/>
    <w:rsid w:val="009D013C"/>
    <w:pPr>
      <w:spacing w:before="120" w:after="120" w:line="480" w:lineRule="auto"/>
      <w:ind w:firstLine="1134"/>
    </w:pPr>
    <w:rPr>
      <w:szCs w:val="20"/>
    </w:rPr>
  </w:style>
  <w:style w:type="character" w:customStyle="1" w:styleId="Ttulo2Char">
    <w:name w:val="Título 2 Char"/>
    <w:aliases w:val="referencia bibliografica Char1"/>
    <w:basedOn w:val="Fontepargpadro"/>
    <w:link w:val="Heading2"/>
    <w:rsid w:val="00991E7E"/>
    <w:rPr>
      <w:sz w:val="24"/>
    </w:rPr>
  </w:style>
  <w:style w:type="paragraph" w:styleId="Remissivo6">
    <w:name w:val="index 6"/>
    <w:basedOn w:val="Normal"/>
    <w:next w:val="Normal"/>
    <w:autoRedefine/>
    <w:rsid w:val="009D013C"/>
    <w:pPr>
      <w:ind w:left="200"/>
    </w:pPr>
    <w:rPr>
      <w:sz w:val="20"/>
    </w:rPr>
  </w:style>
  <w:style w:type="paragraph" w:styleId="Remissivo7">
    <w:name w:val="index 7"/>
    <w:basedOn w:val="Normal"/>
    <w:next w:val="Normal"/>
    <w:autoRedefine/>
    <w:rsid w:val="009D013C"/>
    <w:pPr>
      <w:spacing w:line="480" w:lineRule="auto"/>
    </w:pPr>
    <w:rPr>
      <w:b/>
    </w:rPr>
  </w:style>
  <w:style w:type="paragraph" w:styleId="Remissivo8">
    <w:name w:val="index 8"/>
    <w:basedOn w:val="Normal"/>
    <w:next w:val="Normal"/>
    <w:autoRedefine/>
    <w:rsid w:val="009D013C"/>
    <w:pPr>
      <w:spacing w:line="480" w:lineRule="auto"/>
    </w:pPr>
    <w:rPr>
      <w:b/>
    </w:rPr>
  </w:style>
  <w:style w:type="paragraph" w:styleId="Remissivo9">
    <w:name w:val="index 9"/>
    <w:basedOn w:val="Normal"/>
    <w:next w:val="Normal"/>
    <w:autoRedefine/>
    <w:semiHidden/>
    <w:rsid w:val="009D013C"/>
    <w:pPr>
      <w:ind w:left="600"/>
    </w:pPr>
    <w:rPr>
      <w:sz w:val="20"/>
    </w:rPr>
  </w:style>
  <w:style w:type="paragraph" w:styleId="Sumrio1">
    <w:name w:val="toc 1"/>
    <w:basedOn w:val="Normal"/>
    <w:next w:val="Normal"/>
    <w:autoRedefine/>
    <w:uiPriority w:val="39"/>
    <w:qFormat/>
    <w:rsid w:val="00CD54B0"/>
    <w:pPr>
      <w:tabs>
        <w:tab w:val="right" w:leader="dot" w:pos="9062"/>
      </w:tabs>
    </w:pPr>
  </w:style>
  <w:style w:type="paragraph" w:styleId="Sumrio2">
    <w:name w:val="toc 2"/>
    <w:basedOn w:val="Normal"/>
    <w:next w:val="Normal"/>
    <w:autoRedefine/>
    <w:uiPriority w:val="39"/>
    <w:rsid w:val="00F848C6"/>
    <w:pPr>
      <w:tabs>
        <w:tab w:val="right" w:leader="dot" w:pos="9062"/>
      </w:tabs>
    </w:pPr>
    <w:rPr>
      <w:sz w:val="20"/>
    </w:rPr>
  </w:style>
  <w:style w:type="paragraph" w:styleId="Sumrio3">
    <w:name w:val="toc 3"/>
    <w:basedOn w:val="Normal"/>
    <w:next w:val="Normal"/>
    <w:autoRedefine/>
    <w:semiHidden/>
    <w:rsid w:val="009D013C"/>
    <w:pPr>
      <w:ind w:left="1200"/>
    </w:pPr>
    <w:rPr>
      <w:sz w:val="20"/>
    </w:rPr>
  </w:style>
  <w:style w:type="paragraph" w:styleId="Sumrio4">
    <w:name w:val="toc 4"/>
    <w:basedOn w:val="Normal"/>
    <w:next w:val="Normal"/>
    <w:autoRedefine/>
    <w:semiHidden/>
    <w:rsid w:val="009D013C"/>
    <w:pPr>
      <w:ind w:left="1400"/>
    </w:pPr>
    <w:rPr>
      <w:sz w:val="20"/>
    </w:rPr>
  </w:style>
  <w:style w:type="paragraph" w:styleId="Sumrio5">
    <w:name w:val="toc 5"/>
    <w:basedOn w:val="Normal"/>
    <w:next w:val="Normal"/>
    <w:autoRedefine/>
    <w:semiHidden/>
    <w:rsid w:val="009D013C"/>
    <w:pPr>
      <w:ind w:left="1600"/>
    </w:pPr>
    <w:rPr>
      <w:sz w:val="20"/>
    </w:rPr>
  </w:style>
  <w:style w:type="paragraph" w:customStyle="1" w:styleId="Comentrio">
    <w:name w:val="Comentário"/>
    <w:basedOn w:val="Normal"/>
    <w:rsid w:val="009D013C"/>
    <w:rPr>
      <w:sz w:val="20"/>
      <w:szCs w:val="20"/>
    </w:rPr>
  </w:style>
  <w:style w:type="paragraph" w:styleId="Recuonormal">
    <w:name w:val="Normal Indent"/>
    <w:aliases w:val="citação"/>
    <w:basedOn w:val="CitaoLonga"/>
    <w:next w:val="Normal"/>
    <w:autoRedefine/>
    <w:qFormat/>
    <w:rsid w:val="00A90FD1"/>
    <w:pPr>
      <w:spacing w:before="360" w:after="360" w:line="240" w:lineRule="auto"/>
      <w:jc w:val="both"/>
    </w:pPr>
    <w:rPr>
      <w:rFonts w:ascii="Times New Roman" w:hAnsi="Times New Roman" w:cs="Times New Roman"/>
      <w:sz w:val="20"/>
    </w:rPr>
  </w:style>
  <w:style w:type="paragraph" w:styleId="Textodenotaderodap">
    <w:name w:val="footnote text"/>
    <w:aliases w:val="Car,Car Car"/>
    <w:basedOn w:val="Normal"/>
    <w:link w:val="TextodenotaderodapChar"/>
    <w:rsid w:val="009D013C"/>
    <w:pPr>
      <w:ind w:firstLine="709"/>
    </w:pPr>
    <w:rPr>
      <w:szCs w:val="20"/>
    </w:rPr>
  </w:style>
  <w:style w:type="character" w:customStyle="1" w:styleId="TextodenotaderodapChar">
    <w:name w:val="Texto de nota de rodapé Char"/>
    <w:aliases w:val="Car Char,Car Car Char"/>
    <w:basedOn w:val="Fontepargpadro"/>
    <w:link w:val="Textodenotaderodap"/>
    <w:rsid w:val="00C818A3"/>
    <w:rPr>
      <w:rFonts w:ascii="Arial" w:hAnsi="Arial"/>
      <w:sz w:val="24"/>
    </w:rPr>
  </w:style>
  <w:style w:type="paragraph" w:styleId="Textodecomentrio">
    <w:name w:val="annotation text"/>
    <w:basedOn w:val="Normal"/>
    <w:link w:val="TextodecomentrioChar2"/>
    <w:uiPriority w:val="99"/>
    <w:unhideWhenUsed/>
    <w:rsid w:val="00141174"/>
    <w:pPr>
      <w:spacing w:line="240" w:lineRule="auto"/>
    </w:pPr>
    <w:rPr>
      <w:sz w:val="20"/>
      <w:szCs w:val="20"/>
    </w:rPr>
  </w:style>
  <w:style w:type="character" w:customStyle="1" w:styleId="TextodecomentrioChar2">
    <w:name w:val="Texto de comentário Char2"/>
    <w:link w:val="Textodecomentrio"/>
    <w:uiPriority w:val="99"/>
    <w:semiHidden/>
    <w:rsid w:val="00141174"/>
    <w:rPr>
      <w:sz w:val="20"/>
      <w:szCs w:val="20"/>
    </w:rPr>
  </w:style>
  <w:style w:type="character" w:customStyle="1" w:styleId="TextodecomentrioChar">
    <w:name w:val="Texto de comentário Char"/>
    <w:basedOn w:val="Fontepargpadro"/>
    <w:link w:val="Textodecomentrio"/>
    <w:uiPriority w:val="99"/>
    <w:rsid w:val="00DB24FD"/>
    <w:rPr>
      <w:sz w:val="24"/>
    </w:rPr>
  </w:style>
  <w:style w:type="character" w:customStyle="1" w:styleId="Cabealho1">
    <w:name w:val="Cabeçalho1"/>
    <w:basedOn w:val="Fontepargpadro"/>
    <w:rsid w:val="009D013C"/>
    <w:rPr>
      <w:color w:val="0000FF"/>
      <w:u w:val="single"/>
    </w:rPr>
  </w:style>
  <w:style w:type="paragraph" w:styleId="Rodap">
    <w:name w:val="footer"/>
    <w:basedOn w:val="Normal"/>
    <w:next w:val="Normal"/>
    <w:link w:val="RodapChar"/>
    <w:uiPriority w:val="99"/>
    <w:rsid w:val="009D013C"/>
    <w:pPr>
      <w:ind w:left="400" w:hanging="400"/>
    </w:pPr>
    <w:rPr>
      <w:sz w:val="20"/>
    </w:rPr>
  </w:style>
  <w:style w:type="character" w:customStyle="1" w:styleId="RodapChar">
    <w:name w:val="Rodapé Char"/>
    <w:basedOn w:val="Fontepargpadro"/>
    <w:link w:val="Rodap"/>
    <w:uiPriority w:val="99"/>
    <w:rsid w:val="00DB24FD"/>
    <w:rPr>
      <w:szCs w:val="24"/>
    </w:rPr>
  </w:style>
  <w:style w:type="paragraph" w:styleId="Ttulodendiceremissivo">
    <w:name w:val="index heading"/>
    <w:basedOn w:val="Normal"/>
    <w:rsid w:val="009D013C"/>
    <w:pPr>
      <w:ind w:left="2268"/>
    </w:pPr>
    <w:rPr>
      <w:sz w:val="20"/>
      <w:szCs w:val="20"/>
    </w:rPr>
  </w:style>
  <w:style w:type="paragraph" w:styleId="Legenda">
    <w:name w:val="caption"/>
    <w:basedOn w:val="Normal"/>
    <w:next w:val="Normal"/>
    <w:uiPriority w:val="35"/>
    <w:qFormat/>
    <w:rsid w:val="00C12F5C"/>
    <w:pPr>
      <w:keepNext/>
      <w:spacing w:before="120" w:after="120"/>
    </w:pPr>
  </w:style>
  <w:style w:type="character" w:customStyle="1" w:styleId="ndicedeilustraes1">
    <w:name w:val="Índice de ilustrações1"/>
    <w:basedOn w:val="Fontepargpadro"/>
    <w:uiPriority w:val="99"/>
    <w:rsid w:val="005068CE"/>
    <w:rPr>
      <w:rFonts w:ascii="Times New Roman" w:hAnsi="Times New Roman"/>
      <w:i w:val="0"/>
      <w:dstrike w:val="0"/>
      <w:color w:val="auto"/>
      <w:spacing w:val="0"/>
      <w:kern w:val="0"/>
      <w:position w:val="0"/>
      <w:sz w:val="22"/>
      <w:u w:val="none"/>
    </w:rPr>
  </w:style>
  <w:style w:type="paragraph" w:styleId="Destinatrio">
    <w:name w:val="envelope address"/>
    <w:basedOn w:val="Normal"/>
    <w:rsid w:val="009D013C"/>
    <w:rPr>
      <w:sz w:val="20"/>
      <w:szCs w:val="20"/>
    </w:rPr>
  </w:style>
  <w:style w:type="paragraph" w:styleId="Remetente">
    <w:name w:val="envelope return"/>
    <w:basedOn w:val="Normal"/>
    <w:rsid w:val="009D013C"/>
    <w:pPr>
      <w:ind w:firstLine="709"/>
    </w:pPr>
  </w:style>
  <w:style w:type="paragraph" w:customStyle="1" w:styleId="Refdenotaderodap1">
    <w:name w:val="Ref. de nota de rodapé1"/>
    <w:basedOn w:val="Normal"/>
    <w:uiPriority w:val="99"/>
    <w:rsid w:val="009D013C"/>
  </w:style>
  <w:style w:type="paragraph" w:customStyle="1" w:styleId="Refdecomentrio1">
    <w:name w:val="Ref. de comentário1"/>
    <w:basedOn w:val="Normal"/>
    <w:rsid w:val="009D013C"/>
    <w:rPr>
      <w:b/>
      <w:szCs w:val="20"/>
    </w:rPr>
  </w:style>
  <w:style w:type="character" w:styleId="Nmerodelinha">
    <w:name w:val="line number"/>
    <w:basedOn w:val="Fontepargpadro"/>
    <w:rsid w:val="009D013C"/>
    <w:rPr>
      <w:color w:val="800080"/>
      <w:u w:val="single"/>
    </w:rPr>
  </w:style>
  <w:style w:type="paragraph" w:customStyle="1" w:styleId="Nmerodepgina1">
    <w:name w:val="Número de página1"/>
    <w:basedOn w:val="Normal"/>
    <w:rsid w:val="009D013C"/>
    <w:pPr>
      <w:spacing w:line="480" w:lineRule="auto"/>
      <w:jc w:val="center"/>
    </w:pPr>
    <w:rPr>
      <w:szCs w:val="20"/>
    </w:rPr>
  </w:style>
  <w:style w:type="paragraph" w:customStyle="1" w:styleId="Refdenotadefim1">
    <w:name w:val="Ref. de nota de fim1"/>
    <w:basedOn w:val="Normal"/>
    <w:semiHidden/>
    <w:rsid w:val="009D013C"/>
    <w:rPr>
      <w:sz w:val="20"/>
      <w:szCs w:val="20"/>
    </w:rPr>
  </w:style>
  <w:style w:type="paragraph" w:styleId="Textodenotadefim">
    <w:name w:val="endnote text"/>
    <w:basedOn w:val="Normal"/>
    <w:semiHidden/>
    <w:rsid w:val="009D013C"/>
    <w:rPr>
      <w:rFonts w:ascii="Tahoma" w:hAnsi="Tahoma" w:cs="Tahoma"/>
      <w:sz w:val="16"/>
      <w:szCs w:val="16"/>
    </w:rPr>
  </w:style>
  <w:style w:type="paragraph" w:styleId="ndicedeautoridades">
    <w:name w:val="table of authorities"/>
    <w:basedOn w:val="Heading1"/>
    <w:next w:val="Normal"/>
    <w:rsid w:val="009D013C"/>
    <w:pPr>
      <w:spacing w:before="480"/>
    </w:pPr>
    <w:rPr>
      <w:rFonts w:ascii="Cambria" w:hAnsi="Cambria"/>
      <w:bCs/>
      <w:color w:val="365F91"/>
      <w:sz w:val="28"/>
      <w:szCs w:val="28"/>
    </w:rPr>
  </w:style>
  <w:style w:type="paragraph" w:styleId="Textodemacro">
    <w:name w:val="macro"/>
    <w:basedOn w:val="Normal"/>
    <w:rsid w:val="009D013C"/>
    <w:pPr>
      <w:ind w:left="720"/>
      <w:contextualSpacing/>
    </w:pPr>
  </w:style>
  <w:style w:type="character" w:customStyle="1" w:styleId="Heading1Char">
    <w:name w:val="Heading 1 Char"/>
    <w:basedOn w:val="Fontepargpadro"/>
    <w:rsid w:val="009D013C"/>
    <w:rPr>
      <w:rFonts w:ascii="Arial" w:eastAsia="Times New Roman" w:hAnsi="Arial" w:cs="Times New Roman"/>
      <w:b/>
      <w:sz w:val="24"/>
    </w:rPr>
  </w:style>
  <w:style w:type="character" w:customStyle="1" w:styleId="Heading2Char">
    <w:name w:val="Heading 2 Char"/>
    <w:aliases w:val="referencia bibliografica Char"/>
    <w:basedOn w:val="Fontepargpadro"/>
    <w:rsid w:val="009D013C"/>
    <w:rPr>
      <w:rFonts w:ascii="Arial" w:eastAsia="Times New Roman" w:hAnsi="Arial" w:cs="Times New Roman"/>
      <w:sz w:val="24"/>
    </w:rPr>
  </w:style>
  <w:style w:type="character" w:customStyle="1" w:styleId="Heading3Char">
    <w:name w:val="Heading 3 Char"/>
    <w:basedOn w:val="Fontepargpadro"/>
    <w:rsid w:val="009D013C"/>
    <w:rPr>
      <w:rFonts w:ascii="Arial" w:eastAsia="Times New Roman" w:hAnsi="Arial" w:cs="Times New Roman"/>
      <w:b/>
      <w:sz w:val="24"/>
    </w:rPr>
  </w:style>
  <w:style w:type="character" w:customStyle="1" w:styleId="Heading4Char">
    <w:name w:val="Heading 4 Char"/>
    <w:basedOn w:val="Fontepargpadro"/>
    <w:rsid w:val="009D013C"/>
    <w:rPr>
      <w:rFonts w:eastAsia="Arial Unicode MS" w:cs="Times New Roman"/>
      <w:b/>
      <w:sz w:val="24"/>
    </w:rPr>
  </w:style>
  <w:style w:type="character" w:customStyle="1" w:styleId="Heading5Char">
    <w:name w:val="Heading 5 Char"/>
    <w:basedOn w:val="Fontepargpadro"/>
    <w:rsid w:val="009D013C"/>
    <w:rPr>
      <w:rFonts w:eastAsia="Arial Unicode MS" w:cs="Times New Roman"/>
      <w:b/>
      <w:sz w:val="24"/>
      <w:szCs w:val="24"/>
    </w:rPr>
  </w:style>
  <w:style w:type="character" w:customStyle="1" w:styleId="Heading6Char">
    <w:name w:val="Heading 6 Char"/>
    <w:basedOn w:val="Fontepargpadro"/>
    <w:rsid w:val="009D013C"/>
    <w:rPr>
      <w:rFonts w:eastAsia="Times New Roman" w:cs="Times New Roman"/>
      <w:b/>
      <w:sz w:val="24"/>
      <w:szCs w:val="24"/>
    </w:rPr>
  </w:style>
  <w:style w:type="character" w:customStyle="1" w:styleId="Heading7Char">
    <w:name w:val="Heading 7 Char"/>
    <w:basedOn w:val="Fontepargpadro"/>
    <w:rsid w:val="009D013C"/>
    <w:rPr>
      <w:rFonts w:ascii="Arial" w:eastAsia="Times New Roman" w:hAnsi="Arial" w:cs="Times New Roman"/>
      <w:b/>
      <w:sz w:val="24"/>
    </w:rPr>
  </w:style>
  <w:style w:type="character" w:customStyle="1" w:styleId="Heading8Char">
    <w:name w:val="Heading 8 Char"/>
    <w:basedOn w:val="Fontepargpadro"/>
    <w:semiHidden/>
    <w:rsid w:val="009D013C"/>
    <w:rPr>
      <w:rFonts w:ascii="Cambria" w:eastAsia="Times New Roman" w:hAnsi="Cambria" w:cs="Times New Roman"/>
      <w:color w:val="404040"/>
    </w:rPr>
  </w:style>
  <w:style w:type="character" w:customStyle="1" w:styleId="Heading9Char">
    <w:name w:val="Heading 9 Char"/>
    <w:basedOn w:val="Fontepargpadro"/>
    <w:rsid w:val="009D013C"/>
    <w:rPr>
      <w:rFonts w:eastAsia="Times New Roman" w:cs="Times New Roman"/>
      <w:sz w:val="24"/>
    </w:rPr>
  </w:style>
  <w:style w:type="character" w:customStyle="1" w:styleId="TitleChar">
    <w:name w:val="Title Char"/>
    <w:aliases w:val="citação Char"/>
    <w:basedOn w:val="Fontepargpadro"/>
    <w:rsid w:val="009D013C"/>
    <w:rPr>
      <w:rFonts w:ascii="Arial" w:eastAsia="Times New Roman" w:hAnsi="Arial" w:cs="Times New Roman"/>
      <w:sz w:val="22"/>
    </w:rPr>
  </w:style>
  <w:style w:type="paragraph" w:styleId="Commarcadores4">
    <w:name w:val="List Bullet 4"/>
    <w:basedOn w:val="Normal"/>
    <w:next w:val="Normal"/>
    <w:rsid w:val="009D013C"/>
    <w:rPr>
      <w:rFonts w:ascii="Cambria" w:hAnsi="Cambria"/>
      <w:i/>
      <w:iCs/>
      <w:color w:val="4F81BD"/>
      <w:spacing w:val="15"/>
    </w:rPr>
  </w:style>
  <w:style w:type="character" w:customStyle="1" w:styleId="SubtitleChar">
    <w:name w:val="Subtitle Char"/>
    <w:basedOn w:val="Fontepargpadro"/>
    <w:rsid w:val="009D013C"/>
    <w:rPr>
      <w:rFonts w:ascii="Cambria" w:eastAsia="Times New Roman" w:hAnsi="Cambria" w:cs="Times New Roman"/>
      <w:i/>
      <w:iCs/>
      <w:color w:val="4F81BD"/>
      <w:spacing w:val="15"/>
      <w:sz w:val="24"/>
      <w:szCs w:val="24"/>
    </w:rPr>
  </w:style>
  <w:style w:type="character" w:customStyle="1" w:styleId="Numerada21">
    <w:name w:val="Numerada 21"/>
    <w:basedOn w:val="Fontepargpadro"/>
    <w:rsid w:val="009D013C"/>
    <w:rPr>
      <w:b/>
      <w:bCs/>
    </w:rPr>
  </w:style>
  <w:style w:type="character" w:customStyle="1" w:styleId="Numerada31">
    <w:name w:val="Numerada 31"/>
    <w:rsid w:val="009D013C"/>
    <w:rPr>
      <w:i/>
      <w:iCs/>
    </w:rPr>
  </w:style>
  <w:style w:type="paragraph" w:styleId="Numerada4">
    <w:name w:val="List Number 4"/>
    <w:basedOn w:val="Normal"/>
    <w:rsid w:val="009D013C"/>
  </w:style>
  <w:style w:type="paragraph" w:styleId="Numerada5">
    <w:name w:val="List Number 5"/>
    <w:basedOn w:val="Normal"/>
    <w:next w:val="Normal"/>
    <w:rsid w:val="009D013C"/>
    <w:rPr>
      <w:i/>
      <w:iCs/>
    </w:rPr>
  </w:style>
  <w:style w:type="character" w:customStyle="1" w:styleId="QuoteChar">
    <w:name w:val="Quote Char"/>
    <w:basedOn w:val="Fontepargpadro"/>
    <w:rsid w:val="009D013C"/>
    <w:rPr>
      <w:rFonts w:eastAsia="Times New Roman" w:cs="Times New Roman"/>
      <w:i/>
      <w:iCs/>
      <w:color w:val="000000"/>
      <w:sz w:val="24"/>
      <w:szCs w:val="24"/>
    </w:rPr>
  </w:style>
  <w:style w:type="paragraph" w:styleId="Encerramento">
    <w:name w:val="Closing"/>
    <w:basedOn w:val="Normal"/>
    <w:next w:val="Normal"/>
    <w:rsid w:val="009D013C"/>
    <w:pPr>
      <w:spacing w:before="200" w:after="280"/>
      <w:ind w:left="936" w:right="936"/>
    </w:pPr>
    <w:rPr>
      <w:b/>
      <w:bCs/>
      <w:i/>
      <w:iCs/>
      <w:color w:val="4F81BD"/>
    </w:rPr>
  </w:style>
  <w:style w:type="character" w:customStyle="1" w:styleId="IntenseQuoteChar">
    <w:name w:val="Intense Quote Char"/>
    <w:basedOn w:val="Fontepargpadro"/>
    <w:rsid w:val="009D013C"/>
    <w:rPr>
      <w:rFonts w:eastAsia="Times New Roman" w:cs="Times New Roman"/>
      <w:b/>
      <w:bCs/>
      <w:i/>
      <w:iCs/>
      <w:color w:val="4F81BD"/>
      <w:sz w:val="24"/>
      <w:szCs w:val="24"/>
    </w:rPr>
  </w:style>
  <w:style w:type="character" w:customStyle="1" w:styleId="Corpodetexto1">
    <w:name w:val="Corpo de texto1"/>
    <w:rsid w:val="009D013C"/>
    <w:rPr>
      <w:b/>
      <w:bCs/>
      <w:i/>
      <w:iCs/>
      <w:color w:val="4F81BD"/>
    </w:rPr>
  </w:style>
  <w:style w:type="character" w:customStyle="1" w:styleId="Recuodecorpodetexto1">
    <w:name w:val="Recuo de corpo de texto1"/>
    <w:rsid w:val="009D013C"/>
    <w:rPr>
      <w:rFonts w:ascii="Arial" w:hAnsi="Arial"/>
      <w:smallCaps/>
      <w:color w:val="auto"/>
      <w:sz w:val="24"/>
    </w:rPr>
  </w:style>
  <w:style w:type="character" w:customStyle="1" w:styleId="Listadecontinuao1">
    <w:name w:val="Lista de continuação1"/>
    <w:basedOn w:val="Fontepargpadro"/>
    <w:rsid w:val="009D013C"/>
    <w:rPr>
      <w:rFonts w:ascii="Arial" w:hAnsi="Arial"/>
      <w:bCs/>
      <w:smallCaps/>
      <w:color w:val="auto"/>
      <w:spacing w:val="5"/>
      <w:sz w:val="24"/>
    </w:rPr>
  </w:style>
  <w:style w:type="character" w:customStyle="1" w:styleId="Listadecontinuao21">
    <w:name w:val="Lista de continuação 21"/>
    <w:basedOn w:val="Fontepargpadro"/>
    <w:rsid w:val="009D013C"/>
    <w:rPr>
      <w:b/>
      <w:bCs/>
      <w:smallCaps/>
      <w:spacing w:val="5"/>
    </w:rPr>
  </w:style>
  <w:style w:type="character" w:customStyle="1" w:styleId="NoSpacingChar">
    <w:name w:val="No Spacing Char"/>
    <w:basedOn w:val="Fontepargpadro"/>
    <w:rsid w:val="009D013C"/>
    <w:rPr>
      <w:sz w:val="24"/>
      <w:szCs w:val="24"/>
    </w:rPr>
  </w:style>
  <w:style w:type="paragraph" w:styleId="Listadecontinuao4">
    <w:name w:val="List Continue 4"/>
    <w:basedOn w:val="Normal"/>
    <w:rsid w:val="009D013C"/>
    <w:pPr>
      <w:spacing w:line="240" w:lineRule="auto"/>
      <w:ind w:left="283" w:hanging="283"/>
    </w:pPr>
    <w:rPr>
      <w:szCs w:val="20"/>
    </w:rPr>
  </w:style>
  <w:style w:type="table" w:customStyle="1" w:styleId="Listadecontinuao51">
    <w:name w:val="Lista de continuação 51"/>
    <w:basedOn w:val="Tabelanormal"/>
    <w:rsid w:val="009D013C"/>
    <w:pPr>
      <w:spacing w:line="360" w:lineRule="auto"/>
      <w:ind w:firstLine="567"/>
      <w:jc w:val="both"/>
    </w:pPr>
    <w:tblPr>
      <w:tblInd w:w="0" w:type="dxa"/>
      <w:tblCellMar>
        <w:top w:w="0" w:type="dxa"/>
        <w:left w:w="0" w:type="dxa"/>
        <w:bottom w:w="0" w:type="dxa"/>
        <w:right w:w="0" w:type="dxa"/>
      </w:tblCellMar>
    </w:tblPr>
  </w:style>
  <w:style w:type="paragraph" w:styleId="Cabealhodamensagem">
    <w:name w:val="Message Header"/>
    <w:basedOn w:val="Normal"/>
    <w:semiHidden/>
    <w:unhideWhenUsed/>
    <w:rsid w:val="009D013C"/>
    <w:pPr>
      <w:spacing w:before="100" w:beforeAutospacing="1" w:after="100" w:afterAutospacing="1" w:line="240" w:lineRule="auto"/>
    </w:pPr>
  </w:style>
  <w:style w:type="character" w:styleId="Hyperlink">
    <w:name w:val="Hyperlink"/>
    <w:basedOn w:val="Fontepargpadro"/>
    <w:uiPriority w:val="99"/>
    <w:unhideWhenUsed/>
    <w:rsid w:val="00AE36D4"/>
    <w:rPr>
      <w:color w:val="0000FF"/>
      <w:u w:val="single"/>
    </w:rPr>
  </w:style>
  <w:style w:type="character" w:styleId="HiperlinkVisitado">
    <w:name w:val="FollowedHyperlink"/>
    <w:basedOn w:val="Fontepargpadro"/>
    <w:uiPriority w:val="99"/>
    <w:rsid w:val="00976825"/>
    <w:rPr>
      <w:color w:val="800080"/>
      <w:u w:val="single"/>
    </w:rPr>
  </w:style>
  <w:style w:type="character" w:customStyle="1" w:styleId="apple-converted-space">
    <w:name w:val="apple-converted-space"/>
    <w:basedOn w:val="Fontepargpadro"/>
    <w:rsid w:val="00C27EF7"/>
  </w:style>
  <w:style w:type="character" w:styleId="Forte">
    <w:name w:val="Strong"/>
    <w:basedOn w:val="Fontepargpadro"/>
    <w:uiPriority w:val="22"/>
    <w:qFormat/>
    <w:rsid w:val="00C27EF7"/>
    <w:rPr>
      <w:b/>
      <w:bCs/>
    </w:rPr>
  </w:style>
  <w:style w:type="paragraph" w:styleId="PargrafodaLista">
    <w:name w:val="List Paragraph"/>
    <w:aliases w:val="Referência bibliográfica"/>
    <w:basedOn w:val="Normal"/>
    <w:next w:val="Normal"/>
    <w:autoRedefine/>
    <w:uiPriority w:val="34"/>
    <w:qFormat/>
    <w:rsid w:val="00324DCC"/>
    <w:pPr>
      <w:spacing w:line="240" w:lineRule="auto"/>
      <w:ind w:left="1287" w:hanging="360"/>
      <w:contextualSpacing/>
    </w:pPr>
    <w:rPr>
      <w:rFonts w:eastAsia="Calibri"/>
      <w:lang w:eastAsia="en-US"/>
    </w:rPr>
  </w:style>
  <w:style w:type="table" w:styleId="Tabelacomgrade">
    <w:name w:val="Table Grid"/>
    <w:basedOn w:val="Tabelanormal"/>
    <w:uiPriority w:val="59"/>
    <w:rsid w:val="00356AF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semiHidden/>
    <w:unhideWhenUsed/>
    <w:rsid w:val="00CC5859"/>
    <w:pPr>
      <w:ind w:left="283" w:hanging="283"/>
      <w:contextualSpacing/>
    </w:pPr>
    <w:rPr>
      <w:rFonts w:eastAsia="Calibri"/>
      <w:lang w:eastAsia="en-US"/>
    </w:rPr>
  </w:style>
  <w:style w:type="character" w:customStyle="1" w:styleId="apple-style-span">
    <w:name w:val="apple-style-span"/>
    <w:basedOn w:val="Fontepargpadro"/>
    <w:rsid w:val="00CC5859"/>
  </w:style>
  <w:style w:type="paragraph" w:styleId="Ttulo">
    <w:name w:val="Title"/>
    <w:basedOn w:val="Normal"/>
    <w:link w:val="TtuloChar"/>
    <w:rsid w:val="00401145"/>
    <w:pPr>
      <w:spacing w:after="300"/>
    </w:pPr>
    <w:rPr>
      <w:color w:val="17365D"/>
      <w:sz w:val="52"/>
    </w:rPr>
  </w:style>
  <w:style w:type="character" w:customStyle="1" w:styleId="TtuloChar">
    <w:name w:val="Título Char"/>
    <w:basedOn w:val="Fontepargpadro"/>
    <w:link w:val="Ttulo"/>
    <w:rsid w:val="007F4E85"/>
    <w:rPr>
      <w:rFonts w:ascii="Cambria" w:eastAsia="Times New Roman" w:hAnsi="Cambria" w:cs="Times New Roman"/>
      <w:b/>
      <w:bCs/>
      <w:kern w:val="28"/>
      <w:sz w:val="32"/>
      <w:szCs w:val="32"/>
    </w:rPr>
  </w:style>
  <w:style w:type="paragraph" w:customStyle="1" w:styleId="484C150510E142FA811C34C1215EBEB4">
    <w:name w:val="484C150510E142FA811C34C1215EBEB4"/>
    <w:rsid w:val="00C45AEC"/>
    <w:pPr>
      <w:spacing w:after="200" w:line="276" w:lineRule="auto"/>
    </w:pPr>
    <w:rPr>
      <w:rFonts w:ascii="Calibri" w:hAnsi="Calibri"/>
      <w:sz w:val="22"/>
      <w:szCs w:val="22"/>
      <w:lang w:val="en-US" w:eastAsia="en-US"/>
    </w:rPr>
  </w:style>
  <w:style w:type="paragraph" w:styleId="SemEspaamento">
    <w:name w:val="No Spacing"/>
    <w:aliases w:val="Nota"/>
    <w:basedOn w:val="Normal"/>
    <w:next w:val="Textodenotaderodap"/>
    <w:autoRedefine/>
    <w:uiPriority w:val="1"/>
    <w:qFormat/>
    <w:rsid w:val="009006AD"/>
    <w:pPr>
      <w:spacing w:line="240" w:lineRule="auto"/>
      <w:jc w:val="both"/>
    </w:pPr>
    <w:rPr>
      <w:rFonts w:ascii="Times New Roman" w:hAnsi="Times New Roman" w:cs="Times New Roman"/>
      <w:sz w:val="20"/>
      <w:szCs w:val="20"/>
    </w:rPr>
  </w:style>
  <w:style w:type="paragraph" w:styleId="Subttulo">
    <w:name w:val="Subtitle"/>
    <w:basedOn w:val="Normal"/>
    <w:link w:val="SubttuloChar"/>
    <w:rsid w:val="00401145"/>
    <w:rPr>
      <w:i/>
      <w:color w:val="4F81BD"/>
      <w:sz w:val="24"/>
    </w:rPr>
  </w:style>
  <w:style w:type="character" w:customStyle="1" w:styleId="SubttuloChar">
    <w:name w:val="Subtítulo Char"/>
    <w:basedOn w:val="Fontepargpadro"/>
    <w:link w:val="Subttulo"/>
    <w:uiPriority w:val="11"/>
    <w:rsid w:val="00F45483"/>
    <w:rPr>
      <w:rFonts w:eastAsia="Times New Roman" w:cs="Times New Roman"/>
      <w:sz w:val="24"/>
      <w:szCs w:val="24"/>
    </w:rPr>
  </w:style>
  <w:style w:type="character" w:styleId="Refdenotaderodap">
    <w:name w:val="footnote reference"/>
    <w:basedOn w:val="Fontepargpadro"/>
    <w:uiPriority w:val="99"/>
    <w:unhideWhenUsed/>
    <w:rsid w:val="00297D03"/>
    <w:rPr>
      <w:vertAlign w:val="superscript"/>
    </w:rPr>
  </w:style>
  <w:style w:type="paragraph" w:styleId="ndicedeilustraes">
    <w:name w:val="table of figures"/>
    <w:basedOn w:val="Normal"/>
    <w:next w:val="Normal"/>
    <w:uiPriority w:val="99"/>
    <w:unhideWhenUsed/>
    <w:rsid w:val="00790AE2"/>
  </w:style>
  <w:style w:type="character" w:styleId="nfase">
    <w:name w:val="Emphasis"/>
    <w:basedOn w:val="Fontepargpadro"/>
    <w:uiPriority w:val="20"/>
    <w:qFormat/>
    <w:rsid w:val="00DB24FD"/>
    <w:rPr>
      <w:rFonts w:ascii="Arial" w:hAnsi="Arial"/>
      <w:i/>
      <w:iCs/>
      <w:sz w:val="24"/>
    </w:rPr>
  </w:style>
  <w:style w:type="paragraph" w:styleId="Citao">
    <w:name w:val="Quote"/>
    <w:basedOn w:val="Normal"/>
    <w:next w:val="Normal"/>
    <w:link w:val="CitaoChar"/>
    <w:autoRedefine/>
    <w:uiPriority w:val="29"/>
    <w:qFormat/>
    <w:rsid w:val="00DB24FD"/>
    <w:pPr>
      <w:spacing w:before="480" w:after="480" w:line="240" w:lineRule="auto"/>
      <w:ind w:left="1701"/>
    </w:pPr>
    <w:rPr>
      <w:rFonts w:eastAsia="Calibri"/>
      <w:iCs/>
      <w:sz w:val="20"/>
      <w:lang w:eastAsia="en-US"/>
    </w:rPr>
  </w:style>
  <w:style w:type="character" w:customStyle="1" w:styleId="CitaoChar">
    <w:name w:val="Citação Char"/>
    <w:basedOn w:val="Fontepargpadro"/>
    <w:link w:val="Citao"/>
    <w:uiPriority w:val="29"/>
    <w:rsid w:val="00DB24FD"/>
    <w:rPr>
      <w:rFonts w:eastAsia="Calibri" w:cs="Times New Roman"/>
      <w:iCs/>
      <w:color w:val="000000"/>
      <w:szCs w:val="22"/>
      <w:lang w:eastAsia="en-US"/>
    </w:rPr>
  </w:style>
  <w:style w:type="paragraph" w:styleId="NormalWeb">
    <w:name w:val="Normal (Web)"/>
    <w:basedOn w:val="Normal"/>
    <w:uiPriority w:val="99"/>
    <w:unhideWhenUsed/>
    <w:rsid w:val="00DB24FD"/>
    <w:pPr>
      <w:spacing w:before="100" w:beforeAutospacing="1" w:after="100" w:afterAutospacing="1" w:line="240" w:lineRule="auto"/>
    </w:pPr>
  </w:style>
  <w:style w:type="paragraph" w:styleId="Textodebalo">
    <w:name w:val="Balloon Text"/>
    <w:basedOn w:val="Normal"/>
    <w:link w:val="TextodebaloChar"/>
    <w:uiPriority w:val="99"/>
    <w:semiHidden/>
    <w:unhideWhenUsed/>
    <w:rsid w:val="00DB24FD"/>
    <w:pPr>
      <w:spacing w:line="240" w:lineRule="auto"/>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DB24FD"/>
    <w:rPr>
      <w:rFonts w:ascii="Tahoma" w:eastAsia="Calibri" w:hAnsi="Tahoma" w:cs="Tahoma"/>
      <w:sz w:val="16"/>
      <w:szCs w:val="16"/>
      <w:lang w:eastAsia="en-US"/>
    </w:rPr>
  </w:style>
  <w:style w:type="paragraph" w:styleId="Cabealho">
    <w:name w:val="header"/>
    <w:basedOn w:val="Normal"/>
    <w:link w:val="CabealhoChar"/>
    <w:uiPriority w:val="99"/>
    <w:unhideWhenUsed/>
    <w:rsid w:val="00DB24FD"/>
    <w:pPr>
      <w:tabs>
        <w:tab w:val="center" w:pos="4252"/>
        <w:tab w:val="right" w:pos="8504"/>
      </w:tabs>
      <w:spacing w:line="240" w:lineRule="auto"/>
    </w:pPr>
    <w:rPr>
      <w:rFonts w:eastAsia="Calibri"/>
      <w:lang w:eastAsia="en-US"/>
    </w:rPr>
  </w:style>
  <w:style w:type="character" w:customStyle="1" w:styleId="CabealhoChar">
    <w:name w:val="Cabeçalho Char"/>
    <w:basedOn w:val="Fontepargpadro"/>
    <w:link w:val="Cabealho"/>
    <w:uiPriority w:val="99"/>
    <w:rsid w:val="00DB24FD"/>
    <w:rPr>
      <w:rFonts w:eastAsia="Calibri" w:cs="Times New Roman"/>
      <w:sz w:val="24"/>
      <w:szCs w:val="22"/>
      <w:lang w:eastAsia="en-US"/>
    </w:rPr>
  </w:style>
  <w:style w:type="paragraph" w:customStyle="1" w:styleId="bibiografia">
    <w:name w:val="bibiografia"/>
    <w:basedOn w:val="Normal"/>
    <w:link w:val="bibiografiaChar"/>
    <w:qFormat/>
    <w:rsid w:val="00DB24FD"/>
    <w:pPr>
      <w:spacing w:before="240" w:after="240" w:line="240" w:lineRule="auto"/>
    </w:pPr>
    <w:rPr>
      <w:rFonts w:eastAsia="Cambria"/>
      <w:lang w:eastAsia="en-US"/>
    </w:rPr>
  </w:style>
  <w:style w:type="character" w:customStyle="1" w:styleId="bibiografiaChar">
    <w:name w:val="bibiografia Char"/>
    <w:basedOn w:val="Fontepargpadro"/>
    <w:link w:val="bibiografia"/>
    <w:rsid w:val="00DB24FD"/>
    <w:rPr>
      <w:rFonts w:eastAsia="Cambria"/>
      <w:sz w:val="24"/>
      <w:szCs w:val="24"/>
      <w:lang w:eastAsia="en-US"/>
    </w:rPr>
  </w:style>
  <w:style w:type="paragraph" w:styleId="Recuodecorpodetexto">
    <w:name w:val="Body Text Indent"/>
    <w:basedOn w:val="Normal"/>
    <w:link w:val="RecuodecorpodetextoChar"/>
    <w:unhideWhenUsed/>
    <w:rsid w:val="00DB24FD"/>
    <w:pPr>
      <w:ind w:firstLine="708"/>
    </w:pPr>
    <w:rPr>
      <w:szCs w:val="20"/>
    </w:rPr>
  </w:style>
  <w:style w:type="character" w:customStyle="1" w:styleId="RecuodecorpodetextoChar">
    <w:name w:val="Recuo de corpo de texto Char"/>
    <w:basedOn w:val="Fontepargpadro"/>
    <w:link w:val="Recuodecorpodetexto"/>
    <w:rsid w:val="00DB24FD"/>
    <w:rPr>
      <w:rFonts w:ascii="Arial" w:hAnsi="Arial"/>
      <w:sz w:val="24"/>
    </w:rPr>
  </w:style>
  <w:style w:type="paragraph" w:customStyle="1" w:styleId="Normal1">
    <w:name w:val="Normal1"/>
    <w:rsid w:val="00DB24FD"/>
    <w:pPr>
      <w:spacing w:line="276" w:lineRule="auto"/>
    </w:pPr>
    <w:rPr>
      <w:rFonts w:ascii="Arial" w:eastAsia="Arial" w:hAnsi="Arial" w:cs="Arial"/>
      <w:color w:val="000000"/>
      <w:sz w:val="22"/>
      <w:szCs w:val="22"/>
    </w:rPr>
  </w:style>
  <w:style w:type="paragraph" w:styleId="Assuntodocomentrio">
    <w:name w:val="annotation subject"/>
    <w:basedOn w:val="Textodecomentrio"/>
    <w:next w:val="Textodecomentrio"/>
    <w:link w:val="AssuntodocomentrioChar2"/>
    <w:uiPriority w:val="99"/>
    <w:semiHidden/>
    <w:unhideWhenUsed/>
    <w:rsid w:val="00141174"/>
    <w:rPr>
      <w:b/>
      <w:bCs/>
    </w:rPr>
  </w:style>
  <w:style w:type="character" w:customStyle="1" w:styleId="AssuntodocomentrioChar2">
    <w:name w:val="Assunto do comentário Char2"/>
    <w:basedOn w:val="TextodecomentrioChar2"/>
    <w:link w:val="Assuntodocomentrio"/>
    <w:uiPriority w:val="99"/>
    <w:semiHidden/>
    <w:rsid w:val="00141174"/>
    <w:rPr>
      <w:b/>
      <w:bCs/>
      <w:sz w:val="20"/>
      <w:szCs w:val="20"/>
    </w:rPr>
  </w:style>
  <w:style w:type="character" w:customStyle="1" w:styleId="AssuntodocomentrioChar">
    <w:name w:val="Assunto do comentário Char"/>
    <w:basedOn w:val="TextodecomentrioChar"/>
    <w:link w:val="Assuntodocomentrio"/>
    <w:uiPriority w:val="99"/>
    <w:semiHidden/>
    <w:rsid w:val="00DB24FD"/>
    <w:rPr>
      <w:rFonts w:eastAsia="Calibri" w:cs="Times New Roman"/>
      <w:b/>
      <w:bCs/>
      <w:lang w:eastAsia="en-US"/>
    </w:rPr>
  </w:style>
  <w:style w:type="paragraph" w:styleId="CabealhodoSumrio">
    <w:name w:val="TOC Heading"/>
    <w:basedOn w:val="Heading1"/>
    <w:next w:val="Normal"/>
    <w:uiPriority w:val="39"/>
    <w:semiHidden/>
    <w:unhideWhenUsed/>
    <w:qFormat/>
    <w:rsid w:val="00DB24FD"/>
    <w:pPr>
      <w:keepNext/>
      <w:keepLines/>
      <w:spacing w:before="480"/>
      <w:outlineLvl w:val="9"/>
    </w:pPr>
    <w:rPr>
      <w:rFonts w:ascii="Cambria" w:hAnsi="Cambria"/>
      <w:bCs/>
      <w:color w:val="365F91"/>
      <w:sz w:val="28"/>
      <w:szCs w:val="28"/>
      <w:lang w:eastAsia="en-US"/>
    </w:rPr>
  </w:style>
  <w:style w:type="table" w:customStyle="1" w:styleId="SombreamentoClaro-nfase11">
    <w:name w:val="Sombreamento Claro - Ênfase 11"/>
    <w:basedOn w:val="Tabelanormal"/>
    <w:uiPriority w:val="60"/>
    <w:rsid w:val="00C36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4">
    <w:name w:val="Light Shading Accent 4"/>
    <w:basedOn w:val="Tabelanormal"/>
    <w:uiPriority w:val="60"/>
    <w:rsid w:val="00C3612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Claro-nfase5">
    <w:name w:val="Light Shading Accent 5"/>
    <w:basedOn w:val="Tabelanormal"/>
    <w:uiPriority w:val="60"/>
    <w:rsid w:val="00C3612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1">
    <w:name w:val="Sombreamento Claro1"/>
    <w:basedOn w:val="Tabelanormal"/>
    <w:uiPriority w:val="60"/>
    <w:rsid w:val="00C361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rio">
    <w:name w:val="annotation reference"/>
    <w:uiPriority w:val="99"/>
    <w:semiHidden/>
    <w:unhideWhenUsed/>
    <w:rsid w:val="00141174"/>
    <w:rPr>
      <w:sz w:val="16"/>
      <w:szCs w:val="16"/>
    </w:rPr>
  </w:style>
  <w:style w:type="character" w:customStyle="1" w:styleId="AssuntodocomentrioChar1">
    <w:name w:val="Assunto do comentário Char1"/>
    <w:basedOn w:val="TextodecomentrioChar1"/>
    <w:link w:val="Assuntodocomentrio"/>
    <w:uiPriority w:val="99"/>
    <w:semiHidden/>
    <w:rsid w:val="006A34C3"/>
    <w:rPr>
      <w:b/>
      <w:bCs/>
      <w:sz w:val="20"/>
      <w:szCs w:val="20"/>
    </w:rPr>
  </w:style>
  <w:style w:type="character" w:customStyle="1" w:styleId="TextodecomentrioChar1">
    <w:name w:val="Texto de comentário Char1"/>
    <w:uiPriority w:val="99"/>
    <w:semiHidden/>
    <w:rsid w:val="006A34C3"/>
    <w:rPr>
      <w:sz w:val="20"/>
      <w:szCs w:val="20"/>
    </w:rPr>
  </w:style>
  <w:style w:type="table" w:customStyle="1" w:styleId="SombreamentoClaro2">
    <w:name w:val="Sombreamento Claro2"/>
    <w:basedOn w:val="Tabelanormal"/>
    <w:uiPriority w:val="60"/>
    <w:rsid w:val="00102C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o">
    <w:name w:val="Revision"/>
    <w:hidden/>
    <w:uiPriority w:val="99"/>
    <w:semiHidden/>
    <w:rsid w:val="003B4544"/>
    <w:rPr>
      <w:sz w:val="24"/>
      <w:szCs w:val="24"/>
    </w:rPr>
  </w:style>
  <w:style w:type="paragraph" w:customStyle="1" w:styleId="Heading10">
    <w:name w:val="Heading 1"/>
    <w:basedOn w:val="Normal"/>
    <w:rsid w:val="00401145"/>
    <w:pPr>
      <w:spacing w:before="480"/>
    </w:pPr>
    <w:rPr>
      <w:b/>
      <w:color w:val="345A8A"/>
      <w:sz w:val="32"/>
    </w:rPr>
  </w:style>
  <w:style w:type="paragraph" w:customStyle="1" w:styleId="Heading20">
    <w:name w:val="Heading 2"/>
    <w:basedOn w:val="Normal"/>
    <w:rsid w:val="00401145"/>
    <w:pPr>
      <w:spacing w:before="200"/>
    </w:pPr>
    <w:rPr>
      <w:b/>
      <w:color w:val="4F81BD"/>
      <w:sz w:val="26"/>
    </w:rPr>
  </w:style>
  <w:style w:type="paragraph" w:customStyle="1" w:styleId="Heading30">
    <w:name w:val="Heading 3"/>
    <w:basedOn w:val="Normal"/>
    <w:rsid w:val="00401145"/>
    <w:pPr>
      <w:spacing w:before="200"/>
    </w:pPr>
    <w:rPr>
      <w:b/>
      <w:color w:val="4F81BD"/>
      <w:sz w:val="24"/>
    </w:rPr>
  </w:style>
  <w:style w:type="character" w:customStyle="1" w:styleId="Ttulo1Char1">
    <w:name w:val="Título 1 Char1"/>
    <w:basedOn w:val="Fontepargpadro"/>
    <w:link w:val="Ttulo1"/>
    <w:rsid w:val="00F3536E"/>
    <w:rPr>
      <w:rFonts w:asciiTheme="majorHAnsi" w:eastAsiaTheme="majorEastAsia" w:hAnsiTheme="majorHAnsi" w:cstheme="majorBidi"/>
      <w:b/>
      <w:bCs/>
      <w:color w:val="365F91" w:themeColor="accent1" w:themeShade="BF"/>
      <w:sz w:val="28"/>
      <w:szCs w:val="28"/>
    </w:rPr>
  </w:style>
  <w:style w:type="paragraph" w:styleId="Bibliografia">
    <w:name w:val="Bibliography"/>
    <w:basedOn w:val="Normal"/>
    <w:next w:val="Normal"/>
    <w:uiPriority w:val="37"/>
    <w:unhideWhenUsed/>
    <w:rsid w:val="00F3536E"/>
  </w:style>
</w:styles>
</file>

<file path=word/webSettings.xml><?xml version="1.0" encoding="utf-8"?>
<w:webSettings xmlns:r="http://schemas.openxmlformats.org/officeDocument/2006/relationships" xmlns:w="http://schemas.openxmlformats.org/wordprocessingml/2006/main">
  <w:divs>
    <w:div w:id="59252959">
      <w:bodyDiv w:val="1"/>
      <w:marLeft w:val="0"/>
      <w:marRight w:val="0"/>
      <w:marTop w:val="0"/>
      <w:marBottom w:val="0"/>
      <w:divBdr>
        <w:top w:val="none" w:sz="0" w:space="0" w:color="auto"/>
        <w:left w:val="none" w:sz="0" w:space="0" w:color="auto"/>
        <w:bottom w:val="none" w:sz="0" w:space="0" w:color="auto"/>
        <w:right w:val="none" w:sz="0" w:space="0" w:color="auto"/>
      </w:divBdr>
    </w:div>
    <w:div w:id="79720388">
      <w:bodyDiv w:val="1"/>
      <w:marLeft w:val="0"/>
      <w:marRight w:val="0"/>
      <w:marTop w:val="0"/>
      <w:marBottom w:val="0"/>
      <w:divBdr>
        <w:top w:val="none" w:sz="0" w:space="0" w:color="auto"/>
        <w:left w:val="none" w:sz="0" w:space="0" w:color="auto"/>
        <w:bottom w:val="none" w:sz="0" w:space="0" w:color="auto"/>
        <w:right w:val="none" w:sz="0" w:space="0" w:color="auto"/>
      </w:divBdr>
    </w:div>
    <w:div w:id="94256090">
      <w:bodyDiv w:val="1"/>
      <w:marLeft w:val="0"/>
      <w:marRight w:val="0"/>
      <w:marTop w:val="0"/>
      <w:marBottom w:val="0"/>
      <w:divBdr>
        <w:top w:val="none" w:sz="0" w:space="0" w:color="auto"/>
        <w:left w:val="none" w:sz="0" w:space="0" w:color="auto"/>
        <w:bottom w:val="none" w:sz="0" w:space="0" w:color="auto"/>
        <w:right w:val="none" w:sz="0" w:space="0" w:color="auto"/>
      </w:divBdr>
    </w:div>
    <w:div w:id="101848924">
      <w:bodyDiv w:val="1"/>
      <w:marLeft w:val="0"/>
      <w:marRight w:val="0"/>
      <w:marTop w:val="0"/>
      <w:marBottom w:val="0"/>
      <w:divBdr>
        <w:top w:val="none" w:sz="0" w:space="0" w:color="auto"/>
        <w:left w:val="none" w:sz="0" w:space="0" w:color="auto"/>
        <w:bottom w:val="none" w:sz="0" w:space="0" w:color="auto"/>
        <w:right w:val="none" w:sz="0" w:space="0" w:color="auto"/>
      </w:divBdr>
    </w:div>
    <w:div w:id="116140843">
      <w:bodyDiv w:val="1"/>
      <w:marLeft w:val="0"/>
      <w:marRight w:val="0"/>
      <w:marTop w:val="0"/>
      <w:marBottom w:val="0"/>
      <w:divBdr>
        <w:top w:val="none" w:sz="0" w:space="0" w:color="auto"/>
        <w:left w:val="none" w:sz="0" w:space="0" w:color="auto"/>
        <w:bottom w:val="none" w:sz="0" w:space="0" w:color="auto"/>
        <w:right w:val="none" w:sz="0" w:space="0" w:color="auto"/>
      </w:divBdr>
    </w:div>
    <w:div w:id="118188540">
      <w:bodyDiv w:val="1"/>
      <w:marLeft w:val="0"/>
      <w:marRight w:val="0"/>
      <w:marTop w:val="0"/>
      <w:marBottom w:val="0"/>
      <w:divBdr>
        <w:top w:val="none" w:sz="0" w:space="0" w:color="auto"/>
        <w:left w:val="none" w:sz="0" w:space="0" w:color="auto"/>
        <w:bottom w:val="none" w:sz="0" w:space="0" w:color="auto"/>
        <w:right w:val="none" w:sz="0" w:space="0" w:color="auto"/>
      </w:divBdr>
    </w:div>
    <w:div w:id="122814520">
      <w:bodyDiv w:val="1"/>
      <w:marLeft w:val="0"/>
      <w:marRight w:val="0"/>
      <w:marTop w:val="0"/>
      <w:marBottom w:val="0"/>
      <w:divBdr>
        <w:top w:val="none" w:sz="0" w:space="0" w:color="auto"/>
        <w:left w:val="none" w:sz="0" w:space="0" w:color="auto"/>
        <w:bottom w:val="none" w:sz="0" w:space="0" w:color="auto"/>
        <w:right w:val="none" w:sz="0" w:space="0" w:color="auto"/>
      </w:divBdr>
    </w:div>
    <w:div w:id="142549396">
      <w:bodyDiv w:val="1"/>
      <w:marLeft w:val="0"/>
      <w:marRight w:val="0"/>
      <w:marTop w:val="0"/>
      <w:marBottom w:val="0"/>
      <w:divBdr>
        <w:top w:val="none" w:sz="0" w:space="0" w:color="auto"/>
        <w:left w:val="none" w:sz="0" w:space="0" w:color="auto"/>
        <w:bottom w:val="none" w:sz="0" w:space="0" w:color="auto"/>
        <w:right w:val="none" w:sz="0" w:space="0" w:color="auto"/>
      </w:divBdr>
    </w:div>
    <w:div w:id="172763808">
      <w:bodyDiv w:val="1"/>
      <w:marLeft w:val="0"/>
      <w:marRight w:val="0"/>
      <w:marTop w:val="0"/>
      <w:marBottom w:val="0"/>
      <w:divBdr>
        <w:top w:val="none" w:sz="0" w:space="0" w:color="auto"/>
        <w:left w:val="none" w:sz="0" w:space="0" w:color="auto"/>
        <w:bottom w:val="none" w:sz="0" w:space="0" w:color="auto"/>
        <w:right w:val="none" w:sz="0" w:space="0" w:color="auto"/>
      </w:divBdr>
    </w:div>
    <w:div w:id="212162618">
      <w:bodyDiv w:val="1"/>
      <w:marLeft w:val="0"/>
      <w:marRight w:val="0"/>
      <w:marTop w:val="0"/>
      <w:marBottom w:val="0"/>
      <w:divBdr>
        <w:top w:val="none" w:sz="0" w:space="0" w:color="auto"/>
        <w:left w:val="none" w:sz="0" w:space="0" w:color="auto"/>
        <w:bottom w:val="none" w:sz="0" w:space="0" w:color="auto"/>
        <w:right w:val="none" w:sz="0" w:space="0" w:color="auto"/>
      </w:divBdr>
    </w:div>
    <w:div w:id="212622334">
      <w:bodyDiv w:val="1"/>
      <w:marLeft w:val="0"/>
      <w:marRight w:val="0"/>
      <w:marTop w:val="0"/>
      <w:marBottom w:val="0"/>
      <w:divBdr>
        <w:top w:val="none" w:sz="0" w:space="0" w:color="auto"/>
        <w:left w:val="none" w:sz="0" w:space="0" w:color="auto"/>
        <w:bottom w:val="none" w:sz="0" w:space="0" w:color="auto"/>
        <w:right w:val="none" w:sz="0" w:space="0" w:color="auto"/>
      </w:divBdr>
    </w:div>
    <w:div w:id="220944424">
      <w:bodyDiv w:val="1"/>
      <w:marLeft w:val="0"/>
      <w:marRight w:val="0"/>
      <w:marTop w:val="0"/>
      <w:marBottom w:val="0"/>
      <w:divBdr>
        <w:top w:val="none" w:sz="0" w:space="0" w:color="auto"/>
        <w:left w:val="none" w:sz="0" w:space="0" w:color="auto"/>
        <w:bottom w:val="none" w:sz="0" w:space="0" w:color="auto"/>
        <w:right w:val="none" w:sz="0" w:space="0" w:color="auto"/>
      </w:divBdr>
    </w:div>
    <w:div w:id="245457505">
      <w:bodyDiv w:val="1"/>
      <w:marLeft w:val="0"/>
      <w:marRight w:val="0"/>
      <w:marTop w:val="0"/>
      <w:marBottom w:val="0"/>
      <w:divBdr>
        <w:top w:val="none" w:sz="0" w:space="0" w:color="auto"/>
        <w:left w:val="none" w:sz="0" w:space="0" w:color="auto"/>
        <w:bottom w:val="none" w:sz="0" w:space="0" w:color="auto"/>
        <w:right w:val="none" w:sz="0" w:space="0" w:color="auto"/>
      </w:divBdr>
    </w:div>
    <w:div w:id="281229807">
      <w:bodyDiv w:val="1"/>
      <w:marLeft w:val="0"/>
      <w:marRight w:val="0"/>
      <w:marTop w:val="0"/>
      <w:marBottom w:val="0"/>
      <w:divBdr>
        <w:top w:val="none" w:sz="0" w:space="0" w:color="auto"/>
        <w:left w:val="none" w:sz="0" w:space="0" w:color="auto"/>
        <w:bottom w:val="none" w:sz="0" w:space="0" w:color="auto"/>
        <w:right w:val="none" w:sz="0" w:space="0" w:color="auto"/>
      </w:divBdr>
    </w:div>
    <w:div w:id="342635970">
      <w:bodyDiv w:val="1"/>
      <w:marLeft w:val="0"/>
      <w:marRight w:val="0"/>
      <w:marTop w:val="0"/>
      <w:marBottom w:val="0"/>
      <w:divBdr>
        <w:top w:val="none" w:sz="0" w:space="0" w:color="auto"/>
        <w:left w:val="none" w:sz="0" w:space="0" w:color="auto"/>
        <w:bottom w:val="none" w:sz="0" w:space="0" w:color="auto"/>
        <w:right w:val="none" w:sz="0" w:space="0" w:color="auto"/>
      </w:divBdr>
    </w:div>
    <w:div w:id="344866048">
      <w:bodyDiv w:val="1"/>
      <w:marLeft w:val="0"/>
      <w:marRight w:val="0"/>
      <w:marTop w:val="0"/>
      <w:marBottom w:val="0"/>
      <w:divBdr>
        <w:top w:val="none" w:sz="0" w:space="0" w:color="auto"/>
        <w:left w:val="none" w:sz="0" w:space="0" w:color="auto"/>
        <w:bottom w:val="none" w:sz="0" w:space="0" w:color="auto"/>
        <w:right w:val="none" w:sz="0" w:space="0" w:color="auto"/>
      </w:divBdr>
    </w:div>
    <w:div w:id="356657297">
      <w:bodyDiv w:val="1"/>
      <w:marLeft w:val="0"/>
      <w:marRight w:val="0"/>
      <w:marTop w:val="0"/>
      <w:marBottom w:val="0"/>
      <w:divBdr>
        <w:top w:val="none" w:sz="0" w:space="0" w:color="auto"/>
        <w:left w:val="none" w:sz="0" w:space="0" w:color="auto"/>
        <w:bottom w:val="none" w:sz="0" w:space="0" w:color="auto"/>
        <w:right w:val="none" w:sz="0" w:space="0" w:color="auto"/>
      </w:divBdr>
    </w:div>
    <w:div w:id="386346247">
      <w:bodyDiv w:val="1"/>
      <w:marLeft w:val="0"/>
      <w:marRight w:val="0"/>
      <w:marTop w:val="0"/>
      <w:marBottom w:val="0"/>
      <w:divBdr>
        <w:top w:val="none" w:sz="0" w:space="0" w:color="auto"/>
        <w:left w:val="none" w:sz="0" w:space="0" w:color="auto"/>
        <w:bottom w:val="none" w:sz="0" w:space="0" w:color="auto"/>
        <w:right w:val="none" w:sz="0" w:space="0" w:color="auto"/>
      </w:divBdr>
    </w:div>
    <w:div w:id="433013360">
      <w:bodyDiv w:val="1"/>
      <w:marLeft w:val="0"/>
      <w:marRight w:val="0"/>
      <w:marTop w:val="0"/>
      <w:marBottom w:val="0"/>
      <w:divBdr>
        <w:top w:val="none" w:sz="0" w:space="0" w:color="auto"/>
        <w:left w:val="none" w:sz="0" w:space="0" w:color="auto"/>
        <w:bottom w:val="none" w:sz="0" w:space="0" w:color="auto"/>
        <w:right w:val="none" w:sz="0" w:space="0" w:color="auto"/>
      </w:divBdr>
    </w:div>
    <w:div w:id="438988926">
      <w:bodyDiv w:val="1"/>
      <w:marLeft w:val="0"/>
      <w:marRight w:val="0"/>
      <w:marTop w:val="0"/>
      <w:marBottom w:val="0"/>
      <w:divBdr>
        <w:top w:val="none" w:sz="0" w:space="0" w:color="auto"/>
        <w:left w:val="none" w:sz="0" w:space="0" w:color="auto"/>
        <w:bottom w:val="none" w:sz="0" w:space="0" w:color="auto"/>
        <w:right w:val="none" w:sz="0" w:space="0" w:color="auto"/>
      </w:divBdr>
    </w:div>
    <w:div w:id="485778548">
      <w:bodyDiv w:val="1"/>
      <w:marLeft w:val="0"/>
      <w:marRight w:val="0"/>
      <w:marTop w:val="0"/>
      <w:marBottom w:val="0"/>
      <w:divBdr>
        <w:top w:val="none" w:sz="0" w:space="0" w:color="auto"/>
        <w:left w:val="none" w:sz="0" w:space="0" w:color="auto"/>
        <w:bottom w:val="none" w:sz="0" w:space="0" w:color="auto"/>
        <w:right w:val="none" w:sz="0" w:space="0" w:color="auto"/>
      </w:divBdr>
    </w:div>
    <w:div w:id="496192086">
      <w:bodyDiv w:val="1"/>
      <w:marLeft w:val="0"/>
      <w:marRight w:val="0"/>
      <w:marTop w:val="0"/>
      <w:marBottom w:val="0"/>
      <w:divBdr>
        <w:top w:val="none" w:sz="0" w:space="0" w:color="auto"/>
        <w:left w:val="none" w:sz="0" w:space="0" w:color="auto"/>
        <w:bottom w:val="none" w:sz="0" w:space="0" w:color="auto"/>
        <w:right w:val="none" w:sz="0" w:space="0" w:color="auto"/>
      </w:divBdr>
    </w:div>
    <w:div w:id="496383164">
      <w:bodyDiv w:val="1"/>
      <w:marLeft w:val="0"/>
      <w:marRight w:val="0"/>
      <w:marTop w:val="0"/>
      <w:marBottom w:val="0"/>
      <w:divBdr>
        <w:top w:val="none" w:sz="0" w:space="0" w:color="auto"/>
        <w:left w:val="none" w:sz="0" w:space="0" w:color="auto"/>
        <w:bottom w:val="none" w:sz="0" w:space="0" w:color="auto"/>
        <w:right w:val="none" w:sz="0" w:space="0" w:color="auto"/>
      </w:divBdr>
    </w:div>
    <w:div w:id="500510233">
      <w:bodyDiv w:val="1"/>
      <w:marLeft w:val="0"/>
      <w:marRight w:val="0"/>
      <w:marTop w:val="0"/>
      <w:marBottom w:val="0"/>
      <w:divBdr>
        <w:top w:val="none" w:sz="0" w:space="0" w:color="auto"/>
        <w:left w:val="none" w:sz="0" w:space="0" w:color="auto"/>
        <w:bottom w:val="none" w:sz="0" w:space="0" w:color="auto"/>
        <w:right w:val="none" w:sz="0" w:space="0" w:color="auto"/>
      </w:divBdr>
    </w:div>
    <w:div w:id="518853875">
      <w:bodyDiv w:val="1"/>
      <w:marLeft w:val="0"/>
      <w:marRight w:val="0"/>
      <w:marTop w:val="0"/>
      <w:marBottom w:val="0"/>
      <w:divBdr>
        <w:top w:val="none" w:sz="0" w:space="0" w:color="auto"/>
        <w:left w:val="none" w:sz="0" w:space="0" w:color="auto"/>
        <w:bottom w:val="none" w:sz="0" w:space="0" w:color="auto"/>
        <w:right w:val="none" w:sz="0" w:space="0" w:color="auto"/>
      </w:divBdr>
    </w:div>
    <w:div w:id="554774524">
      <w:bodyDiv w:val="1"/>
      <w:marLeft w:val="0"/>
      <w:marRight w:val="0"/>
      <w:marTop w:val="0"/>
      <w:marBottom w:val="0"/>
      <w:divBdr>
        <w:top w:val="none" w:sz="0" w:space="0" w:color="auto"/>
        <w:left w:val="none" w:sz="0" w:space="0" w:color="auto"/>
        <w:bottom w:val="none" w:sz="0" w:space="0" w:color="auto"/>
        <w:right w:val="none" w:sz="0" w:space="0" w:color="auto"/>
      </w:divBdr>
    </w:div>
    <w:div w:id="557857317">
      <w:bodyDiv w:val="1"/>
      <w:marLeft w:val="0"/>
      <w:marRight w:val="0"/>
      <w:marTop w:val="0"/>
      <w:marBottom w:val="0"/>
      <w:divBdr>
        <w:top w:val="none" w:sz="0" w:space="0" w:color="auto"/>
        <w:left w:val="none" w:sz="0" w:space="0" w:color="auto"/>
        <w:bottom w:val="none" w:sz="0" w:space="0" w:color="auto"/>
        <w:right w:val="none" w:sz="0" w:space="0" w:color="auto"/>
      </w:divBdr>
    </w:div>
    <w:div w:id="560405837">
      <w:bodyDiv w:val="1"/>
      <w:marLeft w:val="0"/>
      <w:marRight w:val="0"/>
      <w:marTop w:val="0"/>
      <w:marBottom w:val="0"/>
      <w:divBdr>
        <w:top w:val="none" w:sz="0" w:space="0" w:color="auto"/>
        <w:left w:val="none" w:sz="0" w:space="0" w:color="auto"/>
        <w:bottom w:val="none" w:sz="0" w:space="0" w:color="auto"/>
        <w:right w:val="none" w:sz="0" w:space="0" w:color="auto"/>
      </w:divBdr>
    </w:div>
    <w:div w:id="573243459">
      <w:bodyDiv w:val="1"/>
      <w:marLeft w:val="0"/>
      <w:marRight w:val="0"/>
      <w:marTop w:val="0"/>
      <w:marBottom w:val="0"/>
      <w:divBdr>
        <w:top w:val="none" w:sz="0" w:space="0" w:color="auto"/>
        <w:left w:val="none" w:sz="0" w:space="0" w:color="auto"/>
        <w:bottom w:val="none" w:sz="0" w:space="0" w:color="auto"/>
        <w:right w:val="none" w:sz="0" w:space="0" w:color="auto"/>
      </w:divBdr>
    </w:div>
    <w:div w:id="579600490">
      <w:bodyDiv w:val="1"/>
      <w:marLeft w:val="0"/>
      <w:marRight w:val="0"/>
      <w:marTop w:val="0"/>
      <w:marBottom w:val="0"/>
      <w:divBdr>
        <w:top w:val="none" w:sz="0" w:space="0" w:color="auto"/>
        <w:left w:val="none" w:sz="0" w:space="0" w:color="auto"/>
        <w:bottom w:val="none" w:sz="0" w:space="0" w:color="auto"/>
        <w:right w:val="none" w:sz="0" w:space="0" w:color="auto"/>
      </w:divBdr>
    </w:div>
    <w:div w:id="582030964">
      <w:bodyDiv w:val="1"/>
      <w:marLeft w:val="0"/>
      <w:marRight w:val="0"/>
      <w:marTop w:val="0"/>
      <w:marBottom w:val="0"/>
      <w:divBdr>
        <w:top w:val="none" w:sz="0" w:space="0" w:color="auto"/>
        <w:left w:val="none" w:sz="0" w:space="0" w:color="auto"/>
        <w:bottom w:val="none" w:sz="0" w:space="0" w:color="auto"/>
        <w:right w:val="none" w:sz="0" w:space="0" w:color="auto"/>
      </w:divBdr>
    </w:div>
    <w:div w:id="583027117">
      <w:bodyDiv w:val="1"/>
      <w:marLeft w:val="0"/>
      <w:marRight w:val="0"/>
      <w:marTop w:val="0"/>
      <w:marBottom w:val="0"/>
      <w:divBdr>
        <w:top w:val="none" w:sz="0" w:space="0" w:color="auto"/>
        <w:left w:val="none" w:sz="0" w:space="0" w:color="auto"/>
        <w:bottom w:val="none" w:sz="0" w:space="0" w:color="auto"/>
        <w:right w:val="none" w:sz="0" w:space="0" w:color="auto"/>
      </w:divBdr>
    </w:div>
    <w:div w:id="609437319">
      <w:bodyDiv w:val="1"/>
      <w:marLeft w:val="0"/>
      <w:marRight w:val="0"/>
      <w:marTop w:val="0"/>
      <w:marBottom w:val="0"/>
      <w:divBdr>
        <w:top w:val="none" w:sz="0" w:space="0" w:color="auto"/>
        <w:left w:val="none" w:sz="0" w:space="0" w:color="auto"/>
        <w:bottom w:val="none" w:sz="0" w:space="0" w:color="auto"/>
        <w:right w:val="none" w:sz="0" w:space="0" w:color="auto"/>
      </w:divBdr>
    </w:div>
    <w:div w:id="639068695">
      <w:bodyDiv w:val="1"/>
      <w:marLeft w:val="0"/>
      <w:marRight w:val="0"/>
      <w:marTop w:val="0"/>
      <w:marBottom w:val="0"/>
      <w:divBdr>
        <w:top w:val="none" w:sz="0" w:space="0" w:color="auto"/>
        <w:left w:val="none" w:sz="0" w:space="0" w:color="auto"/>
        <w:bottom w:val="none" w:sz="0" w:space="0" w:color="auto"/>
        <w:right w:val="none" w:sz="0" w:space="0" w:color="auto"/>
      </w:divBdr>
    </w:div>
    <w:div w:id="639576778">
      <w:bodyDiv w:val="1"/>
      <w:marLeft w:val="0"/>
      <w:marRight w:val="0"/>
      <w:marTop w:val="0"/>
      <w:marBottom w:val="0"/>
      <w:divBdr>
        <w:top w:val="none" w:sz="0" w:space="0" w:color="auto"/>
        <w:left w:val="none" w:sz="0" w:space="0" w:color="auto"/>
        <w:bottom w:val="none" w:sz="0" w:space="0" w:color="auto"/>
        <w:right w:val="none" w:sz="0" w:space="0" w:color="auto"/>
      </w:divBdr>
    </w:div>
    <w:div w:id="656033117">
      <w:bodyDiv w:val="1"/>
      <w:marLeft w:val="0"/>
      <w:marRight w:val="0"/>
      <w:marTop w:val="0"/>
      <w:marBottom w:val="0"/>
      <w:divBdr>
        <w:top w:val="none" w:sz="0" w:space="0" w:color="auto"/>
        <w:left w:val="none" w:sz="0" w:space="0" w:color="auto"/>
        <w:bottom w:val="none" w:sz="0" w:space="0" w:color="auto"/>
        <w:right w:val="none" w:sz="0" w:space="0" w:color="auto"/>
      </w:divBdr>
    </w:div>
    <w:div w:id="669213313">
      <w:bodyDiv w:val="1"/>
      <w:marLeft w:val="0"/>
      <w:marRight w:val="0"/>
      <w:marTop w:val="0"/>
      <w:marBottom w:val="0"/>
      <w:divBdr>
        <w:top w:val="none" w:sz="0" w:space="0" w:color="auto"/>
        <w:left w:val="none" w:sz="0" w:space="0" w:color="auto"/>
        <w:bottom w:val="none" w:sz="0" w:space="0" w:color="auto"/>
        <w:right w:val="none" w:sz="0" w:space="0" w:color="auto"/>
      </w:divBdr>
    </w:div>
    <w:div w:id="676345873">
      <w:bodyDiv w:val="1"/>
      <w:marLeft w:val="0"/>
      <w:marRight w:val="0"/>
      <w:marTop w:val="0"/>
      <w:marBottom w:val="0"/>
      <w:divBdr>
        <w:top w:val="none" w:sz="0" w:space="0" w:color="auto"/>
        <w:left w:val="none" w:sz="0" w:space="0" w:color="auto"/>
        <w:bottom w:val="none" w:sz="0" w:space="0" w:color="auto"/>
        <w:right w:val="none" w:sz="0" w:space="0" w:color="auto"/>
      </w:divBdr>
    </w:div>
    <w:div w:id="724453562">
      <w:bodyDiv w:val="1"/>
      <w:marLeft w:val="0"/>
      <w:marRight w:val="0"/>
      <w:marTop w:val="0"/>
      <w:marBottom w:val="0"/>
      <w:divBdr>
        <w:top w:val="none" w:sz="0" w:space="0" w:color="auto"/>
        <w:left w:val="none" w:sz="0" w:space="0" w:color="auto"/>
        <w:bottom w:val="none" w:sz="0" w:space="0" w:color="auto"/>
        <w:right w:val="none" w:sz="0" w:space="0" w:color="auto"/>
      </w:divBdr>
    </w:div>
    <w:div w:id="733118005">
      <w:bodyDiv w:val="1"/>
      <w:marLeft w:val="0"/>
      <w:marRight w:val="0"/>
      <w:marTop w:val="0"/>
      <w:marBottom w:val="0"/>
      <w:divBdr>
        <w:top w:val="none" w:sz="0" w:space="0" w:color="auto"/>
        <w:left w:val="none" w:sz="0" w:space="0" w:color="auto"/>
        <w:bottom w:val="none" w:sz="0" w:space="0" w:color="auto"/>
        <w:right w:val="none" w:sz="0" w:space="0" w:color="auto"/>
      </w:divBdr>
    </w:div>
    <w:div w:id="736560661">
      <w:bodyDiv w:val="1"/>
      <w:marLeft w:val="0"/>
      <w:marRight w:val="0"/>
      <w:marTop w:val="0"/>
      <w:marBottom w:val="0"/>
      <w:divBdr>
        <w:top w:val="none" w:sz="0" w:space="0" w:color="auto"/>
        <w:left w:val="none" w:sz="0" w:space="0" w:color="auto"/>
        <w:bottom w:val="none" w:sz="0" w:space="0" w:color="auto"/>
        <w:right w:val="none" w:sz="0" w:space="0" w:color="auto"/>
      </w:divBdr>
    </w:div>
    <w:div w:id="751777446">
      <w:bodyDiv w:val="1"/>
      <w:marLeft w:val="0"/>
      <w:marRight w:val="0"/>
      <w:marTop w:val="0"/>
      <w:marBottom w:val="0"/>
      <w:divBdr>
        <w:top w:val="none" w:sz="0" w:space="0" w:color="auto"/>
        <w:left w:val="none" w:sz="0" w:space="0" w:color="auto"/>
        <w:bottom w:val="none" w:sz="0" w:space="0" w:color="auto"/>
        <w:right w:val="none" w:sz="0" w:space="0" w:color="auto"/>
      </w:divBdr>
    </w:div>
    <w:div w:id="753167007">
      <w:bodyDiv w:val="1"/>
      <w:marLeft w:val="0"/>
      <w:marRight w:val="0"/>
      <w:marTop w:val="0"/>
      <w:marBottom w:val="0"/>
      <w:divBdr>
        <w:top w:val="none" w:sz="0" w:space="0" w:color="auto"/>
        <w:left w:val="none" w:sz="0" w:space="0" w:color="auto"/>
        <w:bottom w:val="none" w:sz="0" w:space="0" w:color="auto"/>
        <w:right w:val="none" w:sz="0" w:space="0" w:color="auto"/>
      </w:divBdr>
    </w:div>
    <w:div w:id="754204527">
      <w:bodyDiv w:val="1"/>
      <w:marLeft w:val="0"/>
      <w:marRight w:val="0"/>
      <w:marTop w:val="0"/>
      <w:marBottom w:val="0"/>
      <w:divBdr>
        <w:top w:val="none" w:sz="0" w:space="0" w:color="auto"/>
        <w:left w:val="none" w:sz="0" w:space="0" w:color="auto"/>
        <w:bottom w:val="none" w:sz="0" w:space="0" w:color="auto"/>
        <w:right w:val="none" w:sz="0" w:space="0" w:color="auto"/>
      </w:divBdr>
    </w:div>
    <w:div w:id="780296137">
      <w:bodyDiv w:val="1"/>
      <w:marLeft w:val="0"/>
      <w:marRight w:val="0"/>
      <w:marTop w:val="0"/>
      <w:marBottom w:val="0"/>
      <w:divBdr>
        <w:top w:val="none" w:sz="0" w:space="0" w:color="auto"/>
        <w:left w:val="none" w:sz="0" w:space="0" w:color="auto"/>
        <w:bottom w:val="none" w:sz="0" w:space="0" w:color="auto"/>
        <w:right w:val="none" w:sz="0" w:space="0" w:color="auto"/>
      </w:divBdr>
    </w:div>
    <w:div w:id="847133700">
      <w:bodyDiv w:val="1"/>
      <w:marLeft w:val="0"/>
      <w:marRight w:val="0"/>
      <w:marTop w:val="0"/>
      <w:marBottom w:val="0"/>
      <w:divBdr>
        <w:top w:val="none" w:sz="0" w:space="0" w:color="auto"/>
        <w:left w:val="none" w:sz="0" w:space="0" w:color="auto"/>
        <w:bottom w:val="none" w:sz="0" w:space="0" w:color="auto"/>
        <w:right w:val="none" w:sz="0" w:space="0" w:color="auto"/>
      </w:divBdr>
    </w:div>
    <w:div w:id="852574085">
      <w:bodyDiv w:val="1"/>
      <w:marLeft w:val="0"/>
      <w:marRight w:val="0"/>
      <w:marTop w:val="0"/>
      <w:marBottom w:val="0"/>
      <w:divBdr>
        <w:top w:val="none" w:sz="0" w:space="0" w:color="auto"/>
        <w:left w:val="none" w:sz="0" w:space="0" w:color="auto"/>
        <w:bottom w:val="none" w:sz="0" w:space="0" w:color="auto"/>
        <w:right w:val="none" w:sz="0" w:space="0" w:color="auto"/>
      </w:divBdr>
    </w:div>
    <w:div w:id="871572259">
      <w:bodyDiv w:val="1"/>
      <w:marLeft w:val="0"/>
      <w:marRight w:val="0"/>
      <w:marTop w:val="0"/>
      <w:marBottom w:val="0"/>
      <w:divBdr>
        <w:top w:val="none" w:sz="0" w:space="0" w:color="auto"/>
        <w:left w:val="none" w:sz="0" w:space="0" w:color="auto"/>
        <w:bottom w:val="none" w:sz="0" w:space="0" w:color="auto"/>
        <w:right w:val="none" w:sz="0" w:space="0" w:color="auto"/>
      </w:divBdr>
    </w:div>
    <w:div w:id="892811969">
      <w:bodyDiv w:val="1"/>
      <w:marLeft w:val="0"/>
      <w:marRight w:val="0"/>
      <w:marTop w:val="0"/>
      <w:marBottom w:val="0"/>
      <w:divBdr>
        <w:top w:val="none" w:sz="0" w:space="0" w:color="auto"/>
        <w:left w:val="none" w:sz="0" w:space="0" w:color="auto"/>
        <w:bottom w:val="none" w:sz="0" w:space="0" w:color="auto"/>
        <w:right w:val="none" w:sz="0" w:space="0" w:color="auto"/>
      </w:divBdr>
    </w:div>
    <w:div w:id="937445714">
      <w:bodyDiv w:val="1"/>
      <w:marLeft w:val="0"/>
      <w:marRight w:val="0"/>
      <w:marTop w:val="0"/>
      <w:marBottom w:val="0"/>
      <w:divBdr>
        <w:top w:val="none" w:sz="0" w:space="0" w:color="auto"/>
        <w:left w:val="none" w:sz="0" w:space="0" w:color="auto"/>
        <w:bottom w:val="none" w:sz="0" w:space="0" w:color="auto"/>
        <w:right w:val="none" w:sz="0" w:space="0" w:color="auto"/>
      </w:divBdr>
    </w:div>
    <w:div w:id="973021174">
      <w:bodyDiv w:val="1"/>
      <w:marLeft w:val="0"/>
      <w:marRight w:val="0"/>
      <w:marTop w:val="0"/>
      <w:marBottom w:val="0"/>
      <w:divBdr>
        <w:top w:val="none" w:sz="0" w:space="0" w:color="auto"/>
        <w:left w:val="none" w:sz="0" w:space="0" w:color="auto"/>
        <w:bottom w:val="none" w:sz="0" w:space="0" w:color="auto"/>
        <w:right w:val="none" w:sz="0" w:space="0" w:color="auto"/>
      </w:divBdr>
    </w:div>
    <w:div w:id="975720945">
      <w:bodyDiv w:val="1"/>
      <w:marLeft w:val="0"/>
      <w:marRight w:val="0"/>
      <w:marTop w:val="0"/>
      <w:marBottom w:val="0"/>
      <w:divBdr>
        <w:top w:val="none" w:sz="0" w:space="0" w:color="auto"/>
        <w:left w:val="none" w:sz="0" w:space="0" w:color="auto"/>
        <w:bottom w:val="none" w:sz="0" w:space="0" w:color="auto"/>
        <w:right w:val="none" w:sz="0" w:space="0" w:color="auto"/>
      </w:divBdr>
    </w:div>
    <w:div w:id="998995765">
      <w:bodyDiv w:val="1"/>
      <w:marLeft w:val="0"/>
      <w:marRight w:val="0"/>
      <w:marTop w:val="0"/>
      <w:marBottom w:val="0"/>
      <w:divBdr>
        <w:top w:val="none" w:sz="0" w:space="0" w:color="auto"/>
        <w:left w:val="none" w:sz="0" w:space="0" w:color="auto"/>
        <w:bottom w:val="none" w:sz="0" w:space="0" w:color="auto"/>
        <w:right w:val="none" w:sz="0" w:space="0" w:color="auto"/>
      </w:divBdr>
    </w:div>
    <w:div w:id="999623989">
      <w:bodyDiv w:val="1"/>
      <w:marLeft w:val="0"/>
      <w:marRight w:val="0"/>
      <w:marTop w:val="0"/>
      <w:marBottom w:val="0"/>
      <w:divBdr>
        <w:top w:val="none" w:sz="0" w:space="0" w:color="auto"/>
        <w:left w:val="none" w:sz="0" w:space="0" w:color="auto"/>
        <w:bottom w:val="none" w:sz="0" w:space="0" w:color="auto"/>
        <w:right w:val="none" w:sz="0" w:space="0" w:color="auto"/>
      </w:divBdr>
    </w:div>
    <w:div w:id="1014385867">
      <w:bodyDiv w:val="1"/>
      <w:marLeft w:val="0"/>
      <w:marRight w:val="0"/>
      <w:marTop w:val="0"/>
      <w:marBottom w:val="0"/>
      <w:divBdr>
        <w:top w:val="none" w:sz="0" w:space="0" w:color="auto"/>
        <w:left w:val="none" w:sz="0" w:space="0" w:color="auto"/>
        <w:bottom w:val="none" w:sz="0" w:space="0" w:color="auto"/>
        <w:right w:val="none" w:sz="0" w:space="0" w:color="auto"/>
      </w:divBdr>
    </w:div>
    <w:div w:id="1018507715">
      <w:bodyDiv w:val="1"/>
      <w:marLeft w:val="0"/>
      <w:marRight w:val="0"/>
      <w:marTop w:val="0"/>
      <w:marBottom w:val="0"/>
      <w:divBdr>
        <w:top w:val="none" w:sz="0" w:space="0" w:color="auto"/>
        <w:left w:val="none" w:sz="0" w:space="0" w:color="auto"/>
        <w:bottom w:val="none" w:sz="0" w:space="0" w:color="auto"/>
        <w:right w:val="none" w:sz="0" w:space="0" w:color="auto"/>
      </w:divBdr>
    </w:div>
    <w:div w:id="1023939782">
      <w:bodyDiv w:val="1"/>
      <w:marLeft w:val="0"/>
      <w:marRight w:val="0"/>
      <w:marTop w:val="0"/>
      <w:marBottom w:val="0"/>
      <w:divBdr>
        <w:top w:val="none" w:sz="0" w:space="0" w:color="auto"/>
        <w:left w:val="none" w:sz="0" w:space="0" w:color="auto"/>
        <w:bottom w:val="none" w:sz="0" w:space="0" w:color="auto"/>
        <w:right w:val="none" w:sz="0" w:space="0" w:color="auto"/>
      </w:divBdr>
    </w:div>
    <w:div w:id="1096175207">
      <w:bodyDiv w:val="1"/>
      <w:marLeft w:val="0"/>
      <w:marRight w:val="0"/>
      <w:marTop w:val="0"/>
      <w:marBottom w:val="0"/>
      <w:divBdr>
        <w:top w:val="none" w:sz="0" w:space="0" w:color="auto"/>
        <w:left w:val="none" w:sz="0" w:space="0" w:color="auto"/>
        <w:bottom w:val="none" w:sz="0" w:space="0" w:color="auto"/>
        <w:right w:val="none" w:sz="0" w:space="0" w:color="auto"/>
      </w:divBdr>
    </w:div>
    <w:div w:id="1104114873">
      <w:bodyDiv w:val="1"/>
      <w:marLeft w:val="0"/>
      <w:marRight w:val="0"/>
      <w:marTop w:val="0"/>
      <w:marBottom w:val="0"/>
      <w:divBdr>
        <w:top w:val="none" w:sz="0" w:space="0" w:color="auto"/>
        <w:left w:val="none" w:sz="0" w:space="0" w:color="auto"/>
        <w:bottom w:val="none" w:sz="0" w:space="0" w:color="auto"/>
        <w:right w:val="none" w:sz="0" w:space="0" w:color="auto"/>
      </w:divBdr>
    </w:div>
    <w:div w:id="1125469740">
      <w:bodyDiv w:val="1"/>
      <w:marLeft w:val="0"/>
      <w:marRight w:val="0"/>
      <w:marTop w:val="0"/>
      <w:marBottom w:val="0"/>
      <w:divBdr>
        <w:top w:val="none" w:sz="0" w:space="0" w:color="auto"/>
        <w:left w:val="none" w:sz="0" w:space="0" w:color="auto"/>
        <w:bottom w:val="none" w:sz="0" w:space="0" w:color="auto"/>
        <w:right w:val="none" w:sz="0" w:space="0" w:color="auto"/>
      </w:divBdr>
    </w:div>
    <w:div w:id="1128009752">
      <w:bodyDiv w:val="1"/>
      <w:marLeft w:val="0"/>
      <w:marRight w:val="0"/>
      <w:marTop w:val="0"/>
      <w:marBottom w:val="0"/>
      <w:divBdr>
        <w:top w:val="none" w:sz="0" w:space="0" w:color="auto"/>
        <w:left w:val="none" w:sz="0" w:space="0" w:color="auto"/>
        <w:bottom w:val="none" w:sz="0" w:space="0" w:color="auto"/>
        <w:right w:val="none" w:sz="0" w:space="0" w:color="auto"/>
      </w:divBdr>
    </w:div>
    <w:div w:id="1146045830">
      <w:bodyDiv w:val="1"/>
      <w:marLeft w:val="0"/>
      <w:marRight w:val="0"/>
      <w:marTop w:val="0"/>
      <w:marBottom w:val="0"/>
      <w:divBdr>
        <w:top w:val="none" w:sz="0" w:space="0" w:color="auto"/>
        <w:left w:val="none" w:sz="0" w:space="0" w:color="auto"/>
        <w:bottom w:val="none" w:sz="0" w:space="0" w:color="auto"/>
        <w:right w:val="none" w:sz="0" w:space="0" w:color="auto"/>
      </w:divBdr>
    </w:div>
    <w:div w:id="1200121528">
      <w:bodyDiv w:val="1"/>
      <w:marLeft w:val="0"/>
      <w:marRight w:val="0"/>
      <w:marTop w:val="0"/>
      <w:marBottom w:val="0"/>
      <w:divBdr>
        <w:top w:val="none" w:sz="0" w:space="0" w:color="auto"/>
        <w:left w:val="none" w:sz="0" w:space="0" w:color="auto"/>
        <w:bottom w:val="none" w:sz="0" w:space="0" w:color="auto"/>
        <w:right w:val="none" w:sz="0" w:space="0" w:color="auto"/>
      </w:divBdr>
    </w:div>
    <w:div w:id="1221863575">
      <w:bodyDiv w:val="1"/>
      <w:marLeft w:val="0"/>
      <w:marRight w:val="0"/>
      <w:marTop w:val="0"/>
      <w:marBottom w:val="0"/>
      <w:divBdr>
        <w:top w:val="none" w:sz="0" w:space="0" w:color="auto"/>
        <w:left w:val="none" w:sz="0" w:space="0" w:color="auto"/>
        <w:bottom w:val="none" w:sz="0" w:space="0" w:color="auto"/>
        <w:right w:val="none" w:sz="0" w:space="0" w:color="auto"/>
      </w:divBdr>
    </w:div>
    <w:div w:id="1250240176">
      <w:bodyDiv w:val="1"/>
      <w:marLeft w:val="0"/>
      <w:marRight w:val="0"/>
      <w:marTop w:val="0"/>
      <w:marBottom w:val="0"/>
      <w:divBdr>
        <w:top w:val="none" w:sz="0" w:space="0" w:color="auto"/>
        <w:left w:val="none" w:sz="0" w:space="0" w:color="auto"/>
        <w:bottom w:val="none" w:sz="0" w:space="0" w:color="auto"/>
        <w:right w:val="none" w:sz="0" w:space="0" w:color="auto"/>
      </w:divBdr>
    </w:div>
    <w:div w:id="1251282014">
      <w:bodyDiv w:val="1"/>
      <w:marLeft w:val="0"/>
      <w:marRight w:val="0"/>
      <w:marTop w:val="0"/>
      <w:marBottom w:val="0"/>
      <w:divBdr>
        <w:top w:val="none" w:sz="0" w:space="0" w:color="auto"/>
        <w:left w:val="none" w:sz="0" w:space="0" w:color="auto"/>
        <w:bottom w:val="none" w:sz="0" w:space="0" w:color="auto"/>
        <w:right w:val="none" w:sz="0" w:space="0" w:color="auto"/>
      </w:divBdr>
    </w:div>
    <w:div w:id="1270548026">
      <w:bodyDiv w:val="1"/>
      <w:marLeft w:val="0"/>
      <w:marRight w:val="0"/>
      <w:marTop w:val="0"/>
      <w:marBottom w:val="0"/>
      <w:divBdr>
        <w:top w:val="none" w:sz="0" w:space="0" w:color="auto"/>
        <w:left w:val="none" w:sz="0" w:space="0" w:color="auto"/>
        <w:bottom w:val="none" w:sz="0" w:space="0" w:color="auto"/>
        <w:right w:val="none" w:sz="0" w:space="0" w:color="auto"/>
      </w:divBdr>
    </w:div>
    <w:div w:id="1276984030">
      <w:bodyDiv w:val="1"/>
      <w:marLeft w:val="0"/>
      <w:marRight w:val="0"/>
      <w:marTop w:val="0"/>
      <w:marBottom w:val="0"/>
      <w:divBdr>
        <w:top w:val="none" w:sz="0" w:space="0" w:color="auto"/>
        <w:left w:val="none" w:sz="0" w:space="0" w:color="auto"/>
        <w:bottom w:val="none" w:sz="0" w:space="0" w:color="auto"/>
        <w:right w:val="none" w:sz="0" w:space="0" w:color="auto"/>
      </w:divBdr>
      <w:divsChild>
        <w:div w:id="778522271">
          <w:marLeft w:val="0"/>
          <w:marRight w:val="0"/>
          <w:marTop w:val="0"/>
          <w:marBottom w:val="0"/>
          <w:divBdr>
            <w:top w:val="none" w:sz="0" w:space="0" w:color="auto"/>
            <w:left w:val="none" w:sz="0" w:space="0" w:color="auto"/>
            <w:bottom w:val="none" w:sz="0" w:space="0" w:color="auto"/>
            <w:right w:val="none" w:sz="0" w:space="0" w:color="auto"/>
          </w:divBdr>
        </w:div>
      </w:divsChild>
    </w:div>
    <w:div w:id="1326276012">
      <w:bodyDiv w:val="1"/>
      <w:marLeft w:val="0"/>
      <w:marRight w:val="0"/>
      <w:marTop w:val="0"/>
      <w:marBottom w:val="0"/>
      <w:divBdr>
        <w:top w:val="none" w:sz="0" w:space="0" w:color="auto"/>
        <w:left w:val="none" w:sz="0" w:space="0" w:color="auto"/>
        <w:bottom w:val="none" w:sz="0" w:space="0" w:color="auto"/>
        <w:right w:val="none" w:sz="0" w:space="0" w:color="auto"/>
      </w:divBdr>
    </w:div>
    <w:div w:id="1335450997">
      <w:bodyDiv w:val="1"/>
      <w:marLeft w:val="0"/>
      <w:marRight w:val="0"/>
      <w:marTop w:val="0"/>
      <w:marBottom w:val="0"/>
      <w:divBdr>
        <w:top w:val="none" w:sz="0" w:space="0" w:color="auto"/>
        <w:left w:val="none" w:sz="0" w:space="0" w:color="auto"/>
        <w:bottom w:val="none" w:sz="0" w:space="0" w:color="auto"/>
        <w:right w:val="none" w:sz="0" w:space="0" w:color="auto"/>
      </w:divBdr>
    </w:div>
    <w:div w:id="1369331203">
      <w:bodyDiv w:val="1"/>
      <w:marLeft w:val="0"/>
      <w:marRight w:val="0"/>
      <w:marTop w:val="0"/>
      <w:marBottom w:val="0"/>
      <w:divBdr>
        <w:top w:val="none" w:sz="0" w:space="0" w:color="auto"/>
        <w:left w:val="none" w:sz="0" w:space="0" w:color="auto"/>
        <w:bottom w:val="none" w:sz="0" w:space="0" w:color="auto"/>
        <w:right w:val="none" w:sz="0" w:space="0" w:color="auto"/>
      </w:divBdr>
    </w:div>
    <w:div w:id="1377005964">
      <w:bodyDiv w:val="1"/>
      <w:marLeft w:val="0"/>
      <w:marRight w:val="0"/>
      <w:marTop w:val="0"/>
      <w:marBottom w:val="0"/>
      <w:divBdr>
        <w:top w:val="none" w:sz="0" w:space="0" w:color="auto"/>
        <w:left w:val="none" w:sz="0" w:space="0" w:color="auto"/>
        <w:bottom w:val="none" w:sz="0" w:space="0" w:color="auto"/>
        <w:right w:val="none" w:sz="0" w:space="0" w:color="auto"/>
      </w:divBdr>
    </w:div>
    <w:div w:id="1409116334">
      <w:bodyDiv w:val="1"/>
      <w:marLeft w:val="0"/>
      <w:marRight w:val="0"/>
      <w:marTop w:val="0"/>
      <w:marBottom w:val="0"/>
      <w:divBdr>
        <w:top w:val="none" w:sz="0" w:space="0" w:color="auto"/>
        <w:left w:val="none" w:sz="0" w:space="0" w:color="auto"/>
        <w:bottom w:val="none" w:sz="0" w:space="0" w:color="auto"/>
        <w:right w:val="none" w:sz="0" w:space="0" w:color="auto"/>
      </w:divBdr>
      <w:divsChild>
        <w:div w:id="835877789">
          <w:marLeft w:val="0"/>
          <w:marRight w:val="0"/>
          <w:marTop w:val="0"/>
          <w:marBottom w:val="0"/>
          <w:divBdr>
            <w:top w:val="none" w:sz="0" w:space="0" w:color="auto"/>
            <w:left w:val="none" w:sz="0" w:space="0" w:color="auto"/>
            <w:bottom w:val="none" w:sz="0" w:space="0" w:color="auto"/>
            <w:right w:val="none" w:sz="0" w:space="0" w:color="auto"/>
          </w:divBdr>
        </w:div>
      </w:divsChild>
    </w:div>
    <w:div w:id="1458111048">
      <w:bodyDiv w:val="1"/>
      <w:marLeft w:val="0"/>
      <w:marRight w:val="0"/>
      <w:marTop w:val="0"/>
      <w:marBottom w:val="0"/>
      <w:divBdr>
        <w:top w:val="none" w:sz="0" w:space="0" w:color="auto"/>
        <w:left w:val="none" w:sz="0" w:space="0" w:color="auto"/>
        <w:bottom w:val="none" w:sz="0" w:space="0" w:color="auto"/>
        <w:right w:val="none" w:sz="0" w:space="0" w:color="auto"/>
      </w:divBdr>
    </w:div>
    <w:div w:id="1486821837">
      <w:bodyDiv w:val="1"/>
      <w:marLeft w:val="0"/>
      <w:marRight w:val="0"/>
      <w:marTop w:val="0"/>
      <w:marBottom w:val="0"/>
      <w:divBdr>
        <w:top w:val="none" w:sz="0" w:space="0" w:color="auto"/>
        <w:left w:val="none" w:sz="0" w:space="0" w:color="auto"/>
        <w:bottom w:val="none" w:sz="0" w:space="0" w:color="auto"/>
        <w:right w:val="none" w:sz="0" w:space="0" w:color="auto"/>
      </w:divBdr>
    </w:div>
    <w:div w:id="1521432645">
      <w:bodyDiv w:val="1"/>
      <w:marLeft w:val="0"/>
      <w:marRight w:val="0"/>
      <w:marTop w:val="0"/>
      <w:marBottom w:val="0"/>
      <w:divBdr>
        <w:top w:val="none" w:sz="0" w:space="0" w:color="auto"/>
        <w:left w:val="none" w:sz="0" w:space="0" w:color="auto"/>
        <w:bottom w:val="none" w:sz="0" w:space="0" w:color="auto"/>
        <w:right w:val="none" w:sz="0" w:space="0" w:color="auto"/>
      </w:divBdr>
      <w:divsChild>
        <w:div w:id="523833894">
          <w:marLeft w:val="0"/>
          <w:marRight w:val="0"/>
          <w:marTop w:val="0"/>
          <w:marBottom w:val="0"/>
          <w:divBdr>
            <w:top w:val="none" w:sz="0" w:space="0" w:color="auto"/>
            <w:left w:val="none" w:sz="0" w:space="0" w:color="auto"/>
            <w:bottom w:val="none" w:sz="0" w:space="0" w:color="auto"/>
            <w:right w:val="none" w:sz="0" w:space="0" w:color="auto"/>
          </w:divBdr>
        </w:div>
        <w:div w:id="1676376693">
          <w:marLeft w:val="0"/>
          <w:marRight w:val="0"/>
          <w:marTop w:val="300"/>
          <w:marBottom w:val="300"/>
          <w:divBdr>
            <w:top w:val="none" w:sz="0" w:space="0" w:color="auto"/>
            <w:left w:val="none" w:sz="0" w:space="0" w:color="auto"/>
            <w:bottom w:val="none" w:sz="0" w:space="0" w:color="auto"/>
            <w:right w:val="none" w:sz="0" w:space="0" w:color="auto"/>
          </w:divBdr>
          <w:divsChild>
            <w:div w:id="144855702">
              <w:marLeft w:val="0"/>
              <w:marRight w:val="0"/>
              <w:marTop w:val="0"/>
              <w:marBottom w:val="0"/>
              <w:divBdr>
                <w:top w:val="none" w:sz="0" w:space="0" w:color="auto"/>
                <w:left w:val="none" w:sz="0" w:space="0" w:color="auto"/>
                <w:bottom w:val="none" w:sz="0" w:space="0" w:color="auto"/>
                <w:right w:val="none" w:sz="0" w:space="0" w:color="auto"/>
              </w:divBdr>
              <w:divsChild>
                <w:div w:id="661196381">
                  <w:marLeft w:val="0"/>
                  <w:marRight w:val="0"/>
                  <w:marTop w:val="0"/>
                  <w:marBottom w:val="0"/>
                  <w:divBdr>
                    <w:top w:val="none" w:sz="0" w:space="0" w:color="auto"/>
                    <w:left w:val="none" w:sz="0" w:space="0" w:color="auto"/>
                    <w:bottom w:val="none" w:sz="0" w:space="0" w:color="auto"/>
                    <w:right w:val="none" w:sz="0" w:space="0" w:color="auto"/>
                  </w:divBdr>
                  <w:divsChild>
                    <w:div w:id="1949465876">
                      <w:marLeft w:val="0"/>
                      <w:marRight w:val="0"/>
                      <w:marTop w:val="0"/>
                      <w:marBottom w:val="0"/>
                      <w:divBdr>
                        <w:top w:val="none" w:sz="0" w:space="0" w:color="auto"/>
                        <w:left w:val="none" w:sz="0" w:space="0" w:color="auto"/>
                        <w:bottom w:val="none" w:sz="0" w:space="0" w:color="auto"/>
                        <w:right w:val="none" w:sz="0" w:space="0" w:color="auto"/>
                      </w:divBdr>
                      <w:divsChild>
                        <w:div w:id="957875433">
                          <w:marLeft w:val="0"/>
                          <w:marRight w:val="0"/>
                          <w:marTop w:val="0"/>
                          <w:marBottom w:val="0"/>
                          <w:divBdr>
                            <w:top w:val="none" w:sz="0" w:space="0" w:color="auto"/>
                            <w:left w:val="none" w:sz="0" w:space="0" w:color="auto"/>
                            <w:bottom w:val="none" w:sz="0" w:space="0" w:color="auto"/>
                            <w:right w:val="none" w:sz="0" w:space="0" w:color="auto"/>
                          </w:divBdr>
                          <w:divsChild>
                            <w:div w:id="74979231">
                              <w:marLeft w:val="0"/>
                              <w:marRight w:val="0"/>
                              <w:marTop w:val="0"/>
                              <w:marBottom w:val="0"/>
                              <w:divBdr>
                                <w:top w:val="none" w:sz="0" w:space="0" w:color="auto"/>
                                <w:left w:val="none" w:sz="0" w:space="0" w:color="auto"/>
                                <w:bottom w:val="none" w:sz="0" w:space="0" w:color="auto"/>
                                <w:right w:val="none" w:sz="0" w:space="0" w:color="auto"/>
                              </w:divBdr>
                              <w:divsChild>
                                <w:div w:id="16509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80768">
      <w:bodyDiv w:val="1"/>
      <w:marLeft w:val="0"/>
      <w:marRight w:val="0"/>
      <w:marTop w:val="0"/>
      <w:marBottom w:val="0"/>
      <w:divBdr>
        <w:top w:val="none" w:sz="0" w:space="0" w:color="auto"/>
        <w:left w:val="none" w:sz="0" w:space="0" w:color="auto"/>
        <w:bottom w:val="none" w:sz="0" w:space="0" w:color="auto"/>
        <w:right w:val="none" w:sz="0" w:space="0" w:color="auto"/>
      </w:divBdr>
    </w:div>
    <w:div w:id="1543444550">
      <w:bodyDiv w:val="1"/>
      <w:marLeft w:val="0"/>
      <w:marRight w:val="0"/>
      <w:marTop w:val="0"/>
      <w:marBottom w:val="0"/>
      <w:divBdr>
        <w:top w:val="none" w:sz="0" w:space="0" w:color="auto"/>
        <w:left w:val="none" w:sz="0" w:space="0" w:color="auto"/>
        <w:bottom w:val="none" w:sz="0" w:space="0" w:color="auto"/>
        <w:right w:val="none" w:sz="0" w:space="0" w:color="auto"/>
      </w:divBdr>
    </w:div>
    <w:div w:id="1551308225">
      <w:bodyDiv w:val="1"/>
      <w:marLeft w:val="0"/>
      <w:marRight w:val="0"/>
      <w:marTop w:val="0"/>
      <w:marBottom w:val="0"/>
      <w:divBdr>
        <w:top w:val="none" w:sz="0" w:space="0" w:color="auto"/>
        <w:left w:val="none" w:sz="0" w:space="0" w:color="auto"/>
        <w:bottom w:val="none" w:sz="0" w:space="0" w:color="auto"/>
        <w:right w:val="none" w:sz="0" w:space="0" w:color="auto"/>
      </w:divBdr>
    </w:div>
    <w:div w:id="1563174974">
      <w:bodyDiv w:val="1"/>
      <w:marLeft w:val="0"/>
      <w:marRight w:val="0"/>
      <w:marTop w:val="0"/>
      <w:marBottom w:val="0"/>
      <w:divBdr>
        <w:top w:val="none" w:sz="0" w:space="0" w:color="auto"/>
        <w:left w:val="none" w:sz="0" w:space="0" w:color="auto"/>
        <w:bottom w:val="none" w:sz="0" w:space="0" w:color="auto"/>
        <w:right w:val="none" w:sz="0" w:space="0" w:color="auto"/>
      </w:divBdr>
    </w:div>
    <w:div w:id="1579363432">
      <w:bodyDiv w:val="1"/>
      <w:marLeft w:val="0"/>
      <w:marRight w:val="0"/>
      <w:marTop w:val="0"/>
      <w:marBottom w:val="0"/>
      <w:divBdr>
        <w:top w:val="none" w:sz="0" w:space="0" w:color="auto"/>
        <w:left w:val="none" w:sz="0" w:space="0" w:color="auto"/>
        <w:bottom w:val="none" w:sz="0" w:space="0" w:color="auto"/>
        <w:right w:val="none" w:sz="0" w:space="0" w:color="auto"/>
      </w:divBdr>
    </w:div>
    <w:div w:id="1583105880">
      <w:bodyDiv w:val="1"/>
      <w:marLeft w:val="0"/>
      <w:marRight w:val="0"/>
      <w:marTop w:val="0"/>
      <w:marBottom w:val="0"/>
      <w:divBdr>
        <w:top w:val="none" w:sz="0" w:space="0" w:color="auto"/>
        <w:left w:val="none" w:sz="0" w:space="0" w:color="auto"/>
        <w:bottom w:val="none" w:sz="0" w:space="0" w:color="auto"/>
        <w:right w:val="none" w:sz="0" w:space="0" w:color="auto"/>
      </w:divBdr>
    </w:div>
    <w:div w:id="1592197806">
      <w:bodyDiv w:val="1"/>
      <w:marLeft w:val="0"/>
      <w:marRight w:val="0"/>
      <w:marTop w:val="0"/>
      <w:marBottom w:val="0"/>
      <w:divBdr>
        <w:top w:val="none" w:sz="0" w:space="0" w:color="auto"/>
        <w:left w:val="none" w:sz="0" w:space="0" w:color="auto"/>
        <w:bottom w:val="none" w:sz="0" w:space="0" w:color="auto"/>
        <w:right w:val="none" w:sz="0" w:space="0" w:color="auto"/>
      </w:divBdr>
    </w:div>
    <w:div w:id="1593204927">
      <w:bodyDiv w:val="1"/>
      <w:marLeft w:val="0"/>
      <w:marRight w:val="0"/>
      <w:marTop w:val="0"/>
      <w:marBottom w:val="0"/>
      <w:divBdr>
        <w:top w:val="none" w:sz="0" w:space="0" w:color="auto"/>
        <w:left w:val="none" w:sz="0" w:space="0" w:color="auto"/>
        <w:bottom w:val="none" w:sz="0" w:space="0" w:color="auto"/>
        <w:right w:val="none" w:sz="0" w:space="0" w:color="auto"/>
      </w:divBdr>
    </w:div>
    <w:div w:id="1597323074">
      <w:bodyDiv w:val="1"/>
      <w:marLeft w:val="0"/>
      <w:marRight w:val="0"/>
      <w:marTop w:val="0"/>
      <w:marBottom w:val="0"/>
      <w:divBdr>
        <w:top w:val="none" w:sz="0" w:space="0" w:color="auto"/>
        <w:left w:val="none" w:sz="0" w:space="0" w:color="auto"/>
        <w:bottom w:val="none" w:sz="0" w:space="0" w:color="auto"/>
        <w:right w:val="none" w:sz="0" w:space="0" w:color="auto"/>
      </w:divBdr>
    </w:div>
    <w:div w:id="1652246040">
      <w:bodyDiv w:val="1"/>
      <w:marLeft w:val="0"/>
      <w:marRight w:val="0"/>
      <w:marTop w:val="0"/>
      <w:marBottom w:val="0"/>
      <w:divBdr>
        <w:top w:val="none" w:sz="0" w:space="0" w:color="auto"/>
        <w:left w:val="none" w:sz="0" w:space="0" w:color="auto"/>
        <w:bottom w:val="none" w:sz="0" w:space="0" w:color="auto"/>
        <w:right w:val="none" w:sz="0" w:space="0" w:color="auto"/>
      </w:divBdr>
    </w:div>
    <w:div w:id="1659186401">
      <w:bodyDiv w:val="1"/>
      <w:marLeft w:val="0"/>
      <w:marRight w:val="0"/>
      <w:marTop w:val="0"/>
      <w:marBottom w:val="0"/>
      <w:divBdr>
        <w:top w:val="none" w:sz="0" w:space="0" w:color="auto"/>
        <w:left w:val="none" w:sz="0" w:space="0" w:color="auto"/>
        <w:bottom w:val="none" w:sz="0" w:space="0" w:color="auto"/>
        <w:right w:val="none" w:sz="0" w:space="0" w:color="auto"/>
      </w:divBdr>
    </w:div>
    <w:div w:id="1682052023">
      <w:bodyDiv w:val="1"/>
      <w:marLeft w:val="0"/>
      <w:marRight w:val="0"/>
      <w:marTop w:val="0"/>
      <w:marBottom w:val="0"/>
      <w:divBdr>
        <w:top w:val="none" w:sz="0" w:space="0" w:color="auto"/>
        <w:left w:val="none" w:sz="0" w:space="0" w:color="auto"/>
        <w:bottom w:val="none" w:sz="0" w:space="0" w:color="auto"/>
        <w:right w:val="none" w:sz="0" w:space="0" w:color="auto"/>
      </w:divBdr>
    </w:div>
    <w:div w:id="1700155304">
      <w:bodyDiv w:val="1"/>
      <w:marLeft w:val="0"/>
      <w:marRight w:val="0"/>
      <w:marTop w:val="0"/>
      <w:marBottom w:val="0"/>
      <w:divBdr>
        <w:top w:val="none" w:sz="0" w:space="0" w:color="auto"/>
        <w:left w:val="none" w:sz="0" w:space="0" w:color="auto"/>
        <w:bottom w:val="none" w:sz="0" w:space="0" w:color="auto"/>
        <w:right w:val="none" w:sz="0" w:space="0" w:color="auto"/>
      </w:divBdr>
    </w:div>
    <w:div w:id="1706100439">
      <w:bodyDiv w:val="1"/>
      <w:marLeft w:val="0"/>
      <w:marRight w:val="0"/>
      <w:marTop w:val="0"/>
      <w:marBottom w:val="0"/>
      <w:divBdr>
        <w:top w:val="none" w:sz="0" w:space="0" w:color="auto"/>
        <w:left w:val="none" w:sz="0" w:space="0" w:color="auto"/>
        <w:bottom w:val="none" w:sz="0" w:space="0" w:color="auto"/>
        <w:right w:val="none" w:sz="0" w:space="0" w:color="auto"/>
      </w:divBdr>
    </w:div>
    <w:div w:id="1708528489">
      <w:bodyDiv w:val="1"/>
      <w:marLeft w:val="0"/>
      <w:marRight w:val="0"/>
      <w:marTop w:val="0"/>
      <w:marBottom w:val="0"/>
      <w:divBdr>
        <w:top w:val="none" w:sz="0" w:space="0" w:color="auto"/>
        <w:left w:val="none" w:sz="0" w:space="0" w:color="auto"/>
        <w:bottom w:val="none" w:sz="0" w:space="0" w:color="auto"/>
        <w:right w:val="none" w:sz="0" w:space="0" w:color="auto"/>
      </w:divBdr>
    </w:div>
    <w:div w:id="1717047953">
      <w:bodyDiv w:val="1"/>
      <w:marLeft w:val="0"/>
      <w:marRight w:val="0"/>
      <w:marTop w:val="0"/>
      <w:marBottom w:val="0"/>
      <w:divBdr>
        <w:top w:val="none" w:sz="0" w:space="0" w:color="auto"/>
        <w:left w:val="none" w:sz="0" w:space="0" w:color="auto"/>
        <w:bottom w:val="none" w:sz="0" w:space="0" w:color="auto"/>
        <w:right w:val="none" w:sz="0" w:space="0" w:color="auto"/>
      </w:divBdr>
    </w:div>
    <w:div w:id="1745184448">
      <w:bodyDiv w:val="1"/>
      <w:marLeft w:val="0"/>
      <w:marRight w:val="0"/>
      <w:marTop w:val="0"/>
      <w:marBottom w:val="0"/>
      <w:divBdr>
        <w:top w:val="none" w:sz="0" w:space="0" w:color="auto"/>
        <w:left w:val="none" w:sz="0" w:space="0" w:color="auto"/>
        <w:bottom w:val="none" w:sz="0" w:space="0" w:color="auto"/>
        <w:right w:val="none" w:sz="0" w:space="0" w:color="auto"/>
      </w:divBdr>
    </w:div>
    <w:div w:id="1786273434">
      <w:bodyDiv w:val="1"/>
      <w:marLeft w:val="0"/>
      <w:marRight w:val="0"/>
      <w:marTop w:val="0"/>
      <w:marBottom w:val="0"/>
      <w:divBdr>
        <w:top w:val="none" w:sz="0" w:space="0" w:color="auto"/>
        <w:left w:val="none" w:sz="0" w:space="0" w:color="auto"/>
        <w:bottom w:val="none" w:sz="0" w:space="0" w:color="auto"/>
        <w:right w:val="none" w:sz="0" w:space="0" w:color="auto"/>
      </w:divBdr>
    </w:div>
    <w:div w:id="1815024636">
      <w:bodyDiv w:val="1"/>
      <w:marLeft w:val="0"/>
      <w:marRight w:val="0"/>
      <w:marTop w:val="0"/>
      <w:marBottom w:val="0"/>
      <w:divBdr>
        <w:top w:val="none" w:sz="0" w:space="0" w:color="auto"/>
        <w:left w:val="none" w:sz="0" w:space="0" w:color="auto"/>
        <w:bottom w:val="none" w:sz="0" w:space="0" w:color="auto"/>
        <w:right w:val="none" w:sz="0" w:space="0" w:color="auto"/>
      </w:divBdr>
    </w:div>
    <w:div w:id="1816291186">
      <w:bodyDiv w:val="1"/>
      <w:marLeft w:val="0"/>
      <w:marRight w:val="0"/>
      <w:marTop w:val="0"/>
      <w:marBottom w:val="0"/>
      <w:divBdr>
        <w:top w:val="none" w:sz="0" w:space="0" w:color="auto"/>
        <w:left w:val="none" w:sz="0" w:space="0" w:color="auto"/>
        <w:bottom w:val="none" w:sz="0" w:space="0" w:color="auto"/>
        <w:right w:val="none" w:sz="0" w:space="0" w:color="auto"/>
      </w:divBdr>
    </w:div>
    <w:div w:id="1819955390">
      <w:bodyDiv w:val="1"/>
      <w:marLeft w:val="0"/>
      <w:marRight w:val="0"/>
      <w:marTop w:val="0"/>
      <w:marBottom w:val="0"/>
      <w:divBdr>
        <w:top w:val="none" w:sz="0" w:space="0" w:color="auto"/>
        <w:left w:val="none" w:sz="0" w:space="0" w:color="auto"/>
        <w:bottom w:val="none" w:sz="0" w:space="0" w:color="auto"/>
        <w:right w:val="none" w:sz="0" w:space="0" w:color="auto"/>
      </w:divBdr>
    </w:div>
    <w:div w:id="1872569188">
      <w:bodyDiv w:val="1"/>
      <w:marLeft w:val="0"/>
      <w:marRight w:val="0"/>
      <w:marTop w:val="0"/>
      <w:marBottom w:val="0"/>
      <w:divBdr>
        <w:top w:val="none" w:sz="0" w:space="0" w:color="auto"/>
        <w:left w:val="none" w:sz="0" w:space="0" w:color="auto"/>
        <w:bottom w:val="none" w:sz="0" w:space="0" w:color="auto"/>
        <w:right w:val="none" w:sz="0" w:space="0" w:color="auto"/>
      </w:divBdr>
    </w:div>
    <w:div w:id="1889877763">
      <w:bodyDiv w:val="1"/>
      <w:marLeft w:val="0"/>
      <w:marRight w:val="0"/>
      <w:marTop w:val="0"/>
      <w:marBottom w:val="0"/>
      <w:divBdr>
        <w:top w:val="none" w:sz="0" w:space="0" w:color="auto"/>
        <w:left w:val="none" w:sz="0" w:space="0" w:color="auto"/>
        <w:bottom w:val="none" w:sz="0" w:space="0" w:color="auto"/>
        <w:right w:val="none" w:sz="0" w:space="0" w:color="auto"/>
      </w:divBdr>
    </w:div>
    <w:div w:id="1893226031">
      <w:bodyDiv w:val="1"/>
      <w:marLeft w:val="0"/>
      <w:marRight w:val="0"/>
      <w:marTop w:val="0"/>
      <w:marBottom w:val="0"/>
      <w:divBdr>
        <w:top w:val="none" w:sz="0" w:space="0" w:color="auto"/>
        <w:left w:val="none" w:sz="0" w:space="0" w:color="auto"/>
        <w:bottom w:val="none" w:sz="0" w:space="0" w:color="auto"/>
        <w:right w:val="none" w:sz="0" w:space="0" w:color="auto"/>
      </w:divBdr>
    </w:div>
    <w:div w:id="1924409736">
      <w:bodyDiv w:val="1"/>
      <w:marLeft w:val="0"/>
      <w:marRight w:val="0"/>
      <w:marTop w:val="0"/>
      <w:marBottom w:val="0"/>
      <w:divBdr>
        <w:top w:val="none" w:sz="0" w:space="0" w:color="auto"/>
        <w:left w:val="none" w:sz="0" w:space="0" w:color="auto"/>
        <w:bottom w:val="none" w:sz="0" w:space="0" w:color="auto"/>
        <w:right w:val="none" w:sz="0" w:space="0" w:color="auto"/>
      </w:divBdr>
    </w:div>
    <w:div w:id="2026587538">
      <w:bodyDiv w:val="1"/>
      <w:marLeft w:val="0"/>
      <w:marRight w:val="0"/>
      <w:marTop w:val="0"/>
      <w:marBottom w:val="0"/>
      <w:divBdr>
        <w:top w:val="none" w:sz="0" w:space="0" w:color="auto"/>
        <w:left w:val="none" w:sz="0" w:space="0" w:color="auto"/>
        <w:bottom w:val="none" w:sz="0" w:space="0" w:color="auto"/>
        <w:right w:val="none" w:sz="0" w:space="0" w:color="auto"/>
      </w:divBdr>
    </w:div>
    <w:div w:id="2040471857">
      <w:bodyDiv w:val="1"/>
      <w:marLeft w:val="0"/>
      <w:marRight w:val="0"/>
      <w:marTop w:val="0"/>
      <w:marBottom w:val="0"/>
      <w:divBdr>
        <w:top w:val="none" w:sz="0" w:space="0" w:color="auto"/>
        <w:left w:val="none" w:sz="0" w:space="0" w:color="auto"/>
        <w:bottom w:val="none" w:sz="0" w:space="0" w:color="auto"/>
        <w:right w:val="none" w:sz="0" w:space="0" w:color="auto"/>
      </w:divBdr>
    </w:div>
    <w:div w:id="2044093752">
      <w:bodyDiv w:val="1"/>
      <w:marLeft w:val="0"/>
      <w:marRight w:val="0"/>
      <w:marTop w:val="0"/>
      <w:marBottom w:val="0"/>
      <w:divBdr>
        <w:top w:val="none" w:sz="0" w:space="0" w:color="auto"/>
        <w:left w:val="none" w:sz="0" w:space="0" w:color="auto"/>
        <w:bottom w:val="none" w:sz="0" w:space="0" w:color="auto"/>
        <w:right w:val="none" w:sz="0" w:space="0" w:color="auto"/>
      </w:divBdr>
    </w:div>
    <w:div w:id="2067798355">
      <w:bodyDiv w:val="1"/>
      <w:marLeft w:val="0"/>
      <w:marRight w:val="0"/>
      <w:marTop w:val="0"/>
      <w:marBottom w:val="0"/>
      <w:divBdr>
        <w:top w:val="none" w:sz="0" w:space="0" w:color="auto"/>
        <w:left w:val="none" w:sz="0" w:space="0" w:color="auto"/>
        <w:bottom w:val="none" w:sz="0" w:space="0" w:color="auto"/>
        <w:right w:val="none" w:sz="0" w:space="0" w:color="auto"/>
      </w:divBdr>
    </w:div>
    <w:div w:id="2068649670">
      <w:bodyDiv w:val="1"/>
      <w:marLeft w:val="0"/>
      <w:marRight w:val="0"/>
      <w:marTop w:val="0"/>
      <w:marBottom w:val="0"/>
      <w:divBdr>
        <w:top w:val="none" w:sz="0" w:space="0" w:color="auto"/>
        <w:left w:val="none" w:sz="0" w:space="0" w:color="auto"/>
        <w:bottom w:val="none" w:sz="0" w:space="0" w:color="auto"/>
        <w:right w:val="none" w:sz="0" w:space="0" w:color="auto"/>
      </w:divBdr>
    </w:div>
    <w:div w:id="2075620282">
      <w:bodyDiv w:val="1"/>
      <w:marLeft w:val="0"/>
      <w:marRight w:val="0"/>
      <w:marTop w:val="0"/>
      <w:marBottom w:val="0"/>
      <w:divBdr>
        <w:top w:val="none" w:sz="0" w:space="0" w:color="auto"/>
        <w:left w:val="none" w:sz="0" w:space="0" w:color="auto"/>
        <w:bottom w:val="none" w:sz="0" w:space="0" w:color="auto"/>
        <w:right w:val="none" w:sz="0" w:space="0" w:color="auto"/>
      </w:divBdr>
    </w:div>
    <w:div w:id="2079550854">
      <w:bodyDiv w:val="1"/>
      <w:marLeft w:val="0"/>
      <w:marRight w:val="0"/>
      <w:marTop w:val="0"/>
      <w:marBottom w:val="0"/>
      <w:divBdr>
        <w:top w:val="none" w:sz="0" w:space="0" w:color="auto"/>
        <w:left w:val="none" w:sz="0" w:space="0" w:color="auto"/>
        <w:bottom w:val="none" w:sz="0" w:space="0" w:color="auto"/>
        <w:right w:val="none" w:sz="0" w:space="0" w:color="auto"/>
      </w:divBdr>
    </w:div>
    <w:div w:id="2099597751">
      <w:bodyDiv w:val="1"/>
      <w:marLeft w:val="0"/>
      <w:marRight w:val="0"/>
      <w:marTop w:val="0"/>
      <w:marBottom w:val="0"/>
      <w:divBdr>
        <w:top w:val="none" w:sz="0" w:space="0" w:color="auto"/>
        <w:left w:val="none" w:sz="0" w:space="0" w:color="auto"/>
        <w:bottom w:val="none" w:sz="0" w:space="0" w:color="auto"/>
        <w:right w:val="none" w:sz="0" w:space="0" w:color="auto"/>
      </w:divBdr>
    </w:div>
    <w:div w:id="2109109723">
      <w:bodyDiv w:val="1"/>
      <w:marLeft w:val="0"/>
      <w:marRight w:val="0"/>
      <w:marTop w:val="0"/>
      <w:marBottom w:val="0"/>
      <w:divBdr>
        <w:top w:val="none" w:sz="0" w:space="0" w:color="auto"/>
        <w:left w:val="none" w:sz="0" w:space="0" w:color="auto"/>
        <w:bottom w:val="none" w:sz="0" w:space="0" w:color="auto"/>
        <w:right w:val="none" w:sz="0" w:space="0" w:color="auto"/>
      </w:divBdr>
    </w:div>
    <w:div w:id="2112779718">
      <w:bodyDiv w:val="1"/>
      <w:marLeft w:val="0"/>
      <w:marRight w:val="0"/>
      <w:marTop w:val="0"/>
      <w:marBottom w:val="0"/>
      <w:divBdr>
        <w:top w:val="none" w:sz="0" w:space="0" w:color="auto"/>
        <w:left w:val="none" w:sz="0" w:space="0" w:color="auto"/>
        <w:bottom w:val="none" w:sz="0" w:space="0" w:color="auto"/>
        <w:right w:val="none" w:sz="0" w:space="0" w:color="auto"/>
      </w:divBdr>
    </w:div>
    <w:div w:id="212318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377">
          <w:marLeft w:val="0"/>
          <w:marRight w:val="0"/>
          <w:marTop w:val="300"/>
          <w:marBottom w:val="300"/>
          <w:divBdr>
            <w:top w:val="none" w:sz="0" w:space="0" w:color="auto"/>
            <w:left w:val="none" w:sz="0" w:space="0" w:color="auto"/>
            <w:bottom w:val="none" w:sz="0" w:space="0" w:color="auto"/>
            <w:right w:val="none" w:sz="0" w:space="0" w:color="auto"/>
          </w:divBdr>
          <w:divsChild>
            <w:div w:id="262688851">
              <w:marLeft w:val="0"/>
              <w:marRight w:val="0"/>
              <w:marTop w:val="0"/>
              <w:marBottom w:val="0"/>
              <w:divBdr>
                <w:top w:val="none" w:sz="0" w:space="0" w:color="auto"/>
                <w:left w:val="none" w:sz="0" w:space="0" w:color="auto"/>
                <w:bottom w:val="none" w:sz="0" w:space="0" w:color="auto"/>
                <w:right w:val="none" w:sz="0" w:space="0" w:color="auto"/>
              </w:divBdr>
              <w:divsChild>
                <w:div w:id="790823676">
                  <w:marLeft w:val="0"/>
                  <w:marRight w:val="0"/>
                  <w:marTop w:val="0"/>
                  <w:marBottom w:val="0"/>
                  <w:divBdr>
                    <w:top w:val="none" w:sz="0" w:space="0" w:color="auto"/>
                    <w:left w:val="none" w:sz="0" w:space="0" w:color="auto"/>
                    <w:bottom w:val="none" w:sz="0" w:space="0" w:color="auto"/>
                    <w:right w:val="none" w:sz="0" w:space="0" w:color="auto"/>
                  </w:divBdr>
                  <w:divsChild>
                    <w:div w:id="1555387409">
                      <w:marLeft w:val="0"/>
                      <w:marRight w:val="0"/>
                      <w:marTop w:val="0"/>
                      <w:marBottom w:val="0"/>
                      <w:divBdr>
                        <w:top w:val="none" w:sz="0" w:space="0" w:color="auto"/>
                        <w:left w:val="none" w:sz="0" w:space="0" w:color="auto"/>
                        <w:bottom w:val="none" w:sz="0" w:space="0" w:color="auto"/>
                        <w:right w:val="none" w:sz="0" w:space="0" w:color="auto"/>
                      </w:divBdr>
                      <w:divsChild>
                        <w:div w:id="284821680">
                          <w:marLeft w:val="0"/>
                          <w:marRight w:val="0"/>
                          <w:marTop w:val="0"/>
                          <w:marBottom w:val="0"/>
                          <w:divBdr>
                            <w:top w:val="none" w:sz="0" w:space="0" w:color="auto"/>
                            <w:left w:val="none" w:sz="0" w:space="0" w:color="auto"/>
                            <w:bottom w:val="none" w:sz="0" w:space="0" w:color="auto"/>
                            <w:right w:val="none" w:sz="0" w:space="0" w:color="auto"/>
                          </w:divBdr>
                          <w:divsChild>
                            <w:div w:id="1657369178">
                              <w:marLeft w:val="0"/>
                              <w:marRight w:val="0"/>
                              <w:marTop w:val="0"/>
                              <w:marBottom w:val="0"/>
                              <w:divBdr>
                                <w:top w:val="none" w:sz="0" w:space="0" w:color="auto"/>
                                <w:left w:val="none" w:sz="0" w:space="0" w:color="auto"/>
                                <w:bottom w:val="none" w:sz="0" w:space="0" w:color="auto"/>
                                <w:right w:val="none" w:sz="0" w:space="0" w:color="auto"/>
                              </w:divBdr>
                              <w:divsChild>
                                <w:div w:id="9524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3912">
          <w:marLeft w:val="0"/>
          <w:marRight w:val="0"/>
          <w:marTop w:val="0"/>
          <w:marBottom w:val="0"/>
          <w:divBdr>
            <w:top w:val="none" w:sz="0" w:space="0" w:color="auto"/>
            <w:left w:val="none" w:sz="0" w:space="0" w:color="auto"/>
            <w:bottom w:val="none" w:sz="0" w:space="0" w:color="auto"/>
            <w:right w:val="none" w:sz="0" w:space="0" w:color="auto"/>
          </w:divBdr>
        </w:div>
      </w:divsChild>
    </w:div>
    <w:div w:id="21271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mme/pt-br/assuntos/secretarias/spe/publicacoes/balanco-energetico-nacion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2.aneel.gov.br/aplicacoes/capacidadebrasil/capacidadebrasil.cfm" TargetMode="External"/><Relationship Id="rId17" Type="http://schemas.openxmlformats.org/officeDocument/2006/relationships/hyperlink" Target="https://unstats.un.org/unsd/energystats/pubs/yearbook/" TargetMode="External"/><Relationship Id="rId2" Type="http://schemas.openxmlformats.org/officeDocument/2006/relationships/customXml" Target="../customXml/item2.xml"/><Relationship Id="rId16" Type="http://schemas.openxmlformats.org/officeDocument/2006/relationships/hyperlink" Target="http://www.bresserpereira.org.br/papers/2006/06.3.Novo_Desenvolv-SEA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www.researchgate.net/publication/326000213_POLITICA_ECONOMICA_INSTITUICOES_E_CLASSES_SOCIAIS_OS_GOVERNOS_DO_PARTIDO_DOS_TRABALHADORES_NO_BRASIL"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www.epe.gov.br/sites-pt/publicacoes-dados-abertos/publicacoes/PublicacoesArquivos/publicacao-160/topico-168/Anu%C3%A1rio_202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bio\Google%20Drive\Estudos\Eventos2022\Estat&#237;sticas%20e%20gr&#225;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bio\Google%20Drive\Estudos\Eventos2022\Estat&#237;sticas%20e%20gr&#225;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abio\Google%20Drive\Estudos\Eventos2022\Estat&#237;sticas%20e%20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
      <c:rotY val="3"/>
      <c:perspective val="30"/>
    </c:view3D>
    <c:floor>
      <c:spPr>
        <a:solidFill>
          <a:sysClr val="window" lastClr="FFFFFF">
            <a:lumMod val="85000"/>
            <a:alpha val="63000"/>
          </a:sysClr>
        </a:solidFill>
        <a:scene3d>
          <a:camera prst="orthographicFront"/>
          <a:lightRig rig="threePt" dir="t"/>
        </a:scene3d>
        <a:sp3d>
          <a:contourClr>
            <a:srgbClr val="000000"/>
          </a:contourClr>
        </a:sp3d>
      </c:spPr>
    </c:floor>
    <c:plotArea>
      <c:layout/>
      <c:bar3DChart>
        <c:barDir val="col"/>
        <c:grouping val="clustered"/>
        <c:ser>
          <c:idx val="1"/>
          <c:order val="0"/>
          <c:tx>
            <c:strRef>
              <c:f>'por periodo'!$C$13</c:f>
              <c:strCache>
                <c:ptCount val="1"/>
                <c:pt idx="0">
                  <c:v>Brasil ∆ GW</c:v>
                </c:pt>
              </c:strCache>
            </c:strRef>
          </c:tx>
          <c:dLbls>
            <c:showVal val="1"/>
          </c:dLbls>
          <c:cat>
            <c:strRef>
              <c:f>'por periodo'!$A$14:$A$16</c:f>
              <c:strCache>
                <c:ptCount val="3"/>
                <c:pt idx="0">
                  <c:v>Plano de Metas 
(1956-65)</c:v>
                </c:pt>
                <c:pt idx="1">
                  <c:v>II PND 
(1975-84)</c:v>
                </c:pt>
                <c:pt idx="2">
                  <c:v>PAC 
(2007-2016)</c:v>
                </c:pt>
              </c:strCache>
            </c:strRef>
          </c:cat>
          <c:val>
            <c:numRef>
              <c:f>'por periodo'!$C$14:$C$16</c:f>
              <c:numCache>
                <c:formatCode>_-* #,##0_-;\-* #,##0_-;_-* "-"??_-;_-@_-</c:formatCode>
                <c:ptCount val="3"/>
                <c:pt idx="0">
                  <c:v>4603.4220000000014</c:v>
                </c:pt>
                <c:pt idx="1">
                  <c:v>22963</c:v>
                </c:pt>
                <c:pt idx="2">
                  <c:v>54042.577159999993</c:v>
                </c:pt>
              </c:numCache>
            </c:numRef>
          </c:val>
        </c:ser>
        <c:gapWidth val="100"/>
        <c:shape val="cylinder"/>
        <c:axId val="126463360"/>
        <c:axId val="167928960"/>
        <c:axId val="0"/>
      </c:bar3DChart>
      <c:catAx>
        <c:axId val="126463360"/>
        <c:scaling>
          <c:orientation val="minMax"/>
        </c:scaling>
        <c:axPos val="b"/>
        <c:majorTickMark val="none"/>
        <c:tickLblPos val="nextTo"/>
        <c:crossAx val="167928960"/>
        <c:crosses val="autoZero"/>
        <c:auto val="1"/>
        <c:lblAlgn val="ctr"/>
        <c:lblOffset val="100"/>
      </c:catAx>
      <c:valAx>
        <c:axId val="167928960"/>
        <c:scaling>
          <c:orientation val="minMax"/>
        </c:scaling>
        <c:delete val="1"/>
        <c:axPos val="l"/>
        <c:majorGridlines/>
        <c:numFmt formatCode="_-* #,##0_-;\-* #,##0_-;_-* &quot;-&quot;??_-;_-@_-" sourceLinked="1"/>
        <c:majorTickMark val="none"/>
        <c:tickLblPos val="nextTo"/>
        <c:crossAx val="1264633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
      <c:rotY val="3"/>
      <c:perspective val="30"/>
    </c:view3D>
    <c:floor>
      <c:spPr>
        <a:solidFill>
          <a:sysClr val="window" lastClr="FFFFFF">
            <a:lumMod val="85000"/>
            <a:alpha val="63000"/>
          </a:sysClr>
        </a:solidFill>
        <a:scene3d>
          <a:camera prst="orthographicFront"/>
          <a:lightRig rig="threePt" dir="t"/>
        </a:scene3d>
        <a:sp3d>
          <a:contourClr>
            <a:srgbClr val="000000"/>
          </a:contourClr>
        </a:sp3d>
      </c:spPr>
    </c:floor>
    <c:plotArea>
      <c:layout/>
      <c:bar3DChart>
        <c:barDir val="col"/>
        <c:grouping val="clustered"/>
        <c:ser>
          <c:idx val="0"/>
          <c:order val="0"/>
          <c:tx>
            <c:strRef>
              <c:f>'por periodo'!$B$13</c:f>
              <c:strCache>
                <c:ptCount val="1"/>
                <c:pt idx="0">
                  <c:v>Brasil ∆ %</c:v>
                </c:pt>
              </c:strCache>
            </c:strRef>
          </c:tx>
          <c:dLbls>
            <c:showVal val="1"/>
          </c:dLbls>
          <c:cat>
            <c:strRef>
              <c:f>'por periodo'!$A$14:$A$16</c:f>
              <c:strCache>
                <c:ptCount val="3"/>
                <c:pt idx="0">
                  <c:v>Plano de Metas 
(1956-65)</c:v>
                </c:pt>
                <c:pt idx="1">
                  <c:v>II PND 
(1975-84)</c:v>
                </c:pt>
                <c:pt idx="2">
                  <c:v>PAC 
(2007-2016)</c:v>
                </c:pt>
              </c:strCache>
            </c:strRef>
          </c:cat>
          <c:val>
            <c:numRef>
              <c:f>'por periodo'!$B$14:$B$16</c:f>
              <c:numCache>
                <c:formatCode>0.0%</c:formatCode>
                <c:ptCount val="3"/>
                <c:pt idx="0">
                  <c:v>1.3538275026528599</c:v>
                </c:pt>
                <c:pt idx="1">
                  <c:v>1.2663651905365907</c:v>
                </c:pt>
                <c:pt idx="2">
                  <c:v>0.5612189330702525</c:v>
                </c:pt>
              </c:numCache>
            </c:numRef>
          </c:val>
        </c:ser>
        <c:gapWidth val="100"/>
        <c:shape val="cylinder"/>
        <c:axId val="177619712"/>
        <c:axId val="177622016"/>
        <c:axId val="0"/>
      </c:bar3DChart>
      <c:catAx>
        <c:axId val="177619712"/>
        <c:scaling>
          <c:orientation val="minMax"/>
        </c:scaling>
        <c:axPos val="b"/>
        <c:majorTickMark val="none"/>
        <c:tickLblPos val="nextTo"/>
        <c:crossAx val="177622016"/>
        <c:crosses val="autoZero"/>
        <c:auto val="1"/>
        <c:lblAlgn val="ctr"/>
        <c:lblOffset val="100"/>
      </c:catAx>
      <c:valAx>
        <c:axId val="177622016"/>
        <c:scaling>
          <c:orientation val="minMax"/>
        </c:scaling>
        <c:delete val="1"/>
        <c:axPos val="l"/>
        <c:majorGridlines/>
        <c:numFmt formatCode="0.0%" sourceLinked="1"/>
        <c:majorTickMark val="none"/>
        <c:tickLblPos val="nextTo"/>
        <c:crossAx val="1776197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barChart>
        <c:barDir val="col"/>
        <c:grouping val="clustered"/>
        <c:ser>
          <c:idx val="1"/>
          <c:order val="0"/>
          <c:tx>
            <c:strRef>
              <c:f>'por periodo'!$F$1</c:f>
              <c:strCache>
                <c:ptCount val="1"/>
                <c:pt idx="0">
                  <c:v>Incremento total por período</c:v>
                </c:pt>
              </c:strCache>
            </c:strRef>
          </c:tx>
          <c:spPr>
            <a:solidFill>
              <a:schemeClr val="accent2"/>
            </a:solidFill>
            <a:ln w="12700" cap="flat" cmpd="sng" algn="ctr">
              <a:solidFill>
                <a:schemeClr val="accent2">
                  <a:shade val="50000"/>
                </a:schemeClr>
              </a:solidFill>
              <a:prstDash val="solid"/>
              <a:miter lim="800000"/>
            </a:ln>
            <a:effectLst/>
            <a:scene3d>
              <a:camera prst="orthographicFront"/>
              <a:lightRig rig="soft" dir="t">
                <a:rot lat="0" lon="0" rev="600000"/>
              </a:lightRig>
            </a:scene3d>
            <a:sp3d prstMaterial="plastic">
              <a:bevelT w="12700"/>
              <a:bevelB w="12700"/>
            </a:sp3d>
          </c:spPr>
          <c:dLbls>
            <c:dLbl>
              <c:idx val="2"/>
              <c:tx>
                <c:rich>
                  <a:bodyPr/>
                  <a:lstStyle/>
                  <a:p>
                    <a:r>
                      <a:rPr lang="en-US"/>
                      <a:t>Dilma</a:t>
                    </a:r>
                  </a:p>
                  <a:p>
                    <a:r>
                      <a:rPr lang="en-US"/>
                      <a:t>(2011-16)
32,7%</a:t>
                    </a:r>
                  </a:p>
                </c:rich>
              </c:tx>
              <c:dLblPos val="inBase"/>
              <c:showVal val="1"/>
              <c:showCatName val="1"/>
              <c:separator>
</c:separator>
            </c:dLbl>
            <c:dLbl>
              <c:idx val="3"/>
              <c:tx>
                <c:rich>
                  <a:bodyPr/>
                  <a:lstStyle/>
                  <a:p>
                    <a:r>
                      <a:rPr lang="en-US"/>
                      <a:t>Temer </a:t>
                    </a:r>
                  </a:p>
                  <a:p>
                    <a:r>
                      <a:rPr lang="en-US"/>
                      <a:t>(2017-18)
9,4%</a:t>
                    </a:r>
                  </a:p>
                </c:rich>
              </c:tx>
              <c:dLblPos val="inBase"/>
              <c:showVal val="1"/>
              <c:showCatName val="1"/>
              <c:separator>
</c:separator>
            </c:dLbl>
            <c:dLbl>
              <c:idx val="4"/>
              <c:tx>
                <c:rich>
                  <a:bodyPr/>
                  <a:lstStyle/>
                  <a:p>
                    <a:r>
                      <a:rPr lang="en-US"/>
                      <a:t>Bolsonaro </a:t>
                    </a:r>
                  </a:p>
                  <a:p>
                    <a:r>
                      <a:rPr lang="en-US"/>
                      <a:t>(2019-20)
6,2%</a:t>
                    </a:r>
                  </a:p>
                </c:rich>
              </c:tx>
              <c:dLblPos val="inBase"/>
              <c:showVal val="1"/>
              <c:showCatName val="1"/>
              <c:separator>
</c:separator>
            </c:dLbl>
            <c:numFmt formatCode="0.0%" sourceLinked="0"/>
            <c:dLblPos val="inBase"/>
            <c:showVal val="1"/>
            <c:showCatName val="1"/>
            <c:separator>
</c:separator>
          </c:dLbls>
          <c:cat>
            <c:strRef>
              <c:f>'por periodo'!$E$2:$E$6</c:f>
              <c:strCache>
                <c:ptCount val="5"/>
                <c:pt idx="0">
                  <c:v>FHC</c:v>
                </c:pt>
                <c:pt idx="1">
                  <c:v>Lula</c:v>
                </c:pt>
                <c:pt idx="2">
                  <c:v>Dilma</c:v>
                </c:pt>
                <c:pt idx="3">
                  <c:v>Temer 2017-18</c:v>
                </c:pt>
                <c:pt idx="4">
                  <c:v>Bolsonaro 2019-20</c:v>
                </c:pt>
              </c:strCache>
            </c:strRef>
          </c:cat>
          <c:val>
            <c:numRef>
              <c:f>'por periodo'!$F$2:$F$6</c:f>
              <c:numCache>
                <c:formatCode>0.0%</c:formatCode>
                <c:ptCount val="5"/>
                <c:pt idx="0">
                  <c:v>0.393642066595147</c:v>
                </c:pt>
                <c:pt idx="1">
                  <c:v>0.41102907302496478</c:v>
                </c:pt>
                <c:pt idx="2">
                  <c:v>0.32658450745984235</c:v>
                </c:pt>
                <c:pt idx="3">
                  <c:v>9.4000000000000028E-2</c:v>
                </c:pt>
                <c:pt idx="4" formatCode="0.00%">
                  <c:v>6.2000000000000034E-2</c:v>
                </c:pt>
              </c:numCache>
            </c:numRef>
          </c:val>
        </c:ser>
        <c:axId val="177624576"/>
        <c:axId val="177623040"/>
      </c:barChart>
      <c:lineChart>
        <c:grouping val="standard"/>
        <c:ser>
          <c:idx val="0"/>
          <c:order val="1"/>
          <c:tx>
            <c:strRef>
              <c:f>'por periodo'!$G$1</c:f>
              <c:strCache>
                <c:ptCount val="1"/>
                <c:pt idx="0">
                  <c:v>Incremento anual médio no período</c:v>
                </c:pt>
              </c:strCache>
            </c:strRef>
          </c:tx>
          <c:spPr>
            <a:ln w="47625">
              <a:solidFill>
                <a:schemeClr val="tx2">
                  <a:lumMod val="75000"/>
                </a:schemeClr>
              </a:solidFill>
            </a:ln>
          </c:spPr>
          <c:marker>
            <c:spPr>
              <a:ln w="6350">
                <a:solidFill>
                  <a:schemeClr val="tx2">
                    <a:lumMod val="75000"/>
                  </a:schemeClr>
                </a:solidFill>
              </a:ln>
              <a:scene3d>
                <a:camera prst="orthographicFront"/>
                <a:lightRig rig="threePt" dir="t"/>
              </a:scene3d>
              <a:sp3d>
                <a:bevelT/>
              </a:sp3d>
            </c:spPr>
          </c:marker>
          <c:dLbls>
            <c:dLbl>
              <c:idx val="0"/>
              <c:layout>
                <c:manualLayout>
                  <c:x val="-6.5773446006526532E-3"/>
                  <c:y val="-3.1640789730034889E-2"/>
                </c:manualLayout>
              </c:layout>
              <c:showVal val="1"/>
            </c:dLbl>
            <c:dLbl>
              <c:idx val="1"/>
              <c:layout>
                <c:manualLayout>
                  <c:x val="-5.2618756805221248E-3"/>
                  <c:y val="-3.1640623637522382E-2"/>
                </c:manualLayout>
              </c:layout>
              <c:showVal val="1"/>
            </c:dLbl>
            <c:dLbl>
              <c:idx val="2"/>
              <c:layout>
                <c:manualLayout>
                  <c:x val="-9.2082824409136909E-3"/>
                  <c:y val="-2.9531414820866773E-2"/>
                </c:manualLayout>
              </c:layout>
              <c:showVal val="1"/>
            </c:dLbl>
            <c:dLbl>
              <c:idx val="3"/>
              <c:layout>
                <c:manualLayout>
                  <c:x val="-2.6309378402610654E-3"/>
                  <c:y val="-1.4765624364177126E-2"/>
                </c:manualLayout>
              </c:layout>
              <c:showVal val="1"/>
            </c:dLbl>
            <c:dLbl>
              <c:idx val="4"/>
              <c:layout>
                <c:manualLayout>
                  <c:x val="-1.1839220281174748E-2"/>
                  <c:y val="-2.7421873819186086E-2"/>
                </c:manualLayout>
              </c:layout>
              <c:showVal val="1"/>
            </c:dLbl>
            <c:showVal val="1"/>
          </c:dLbls>
          <c:cat>
            <c:strRef>
              <c:f>'por periodo'!$E$2:$E$6</c:f>
              <c:strCache>
                <c:ptCount val="5"/>
                <c:pt idx="0">
                  <c:v>FHC</c:v>
                </c:pt>
                <c:pt idx="1">
                  <c:v>Lula</c:v>
                </c:pt>
                <c:pt idx="2">
                  <c:v>Dilma</c:v>
                </c:pt>
                <c:pt idx="3">
                  <c:v>Temer 2017-18</c:v>
                </c:pt>
                <c:pt idx="4">
                  <c:v>Bolsonaro 2019-20</c:v>
                </c:pt>
              </c:strCache>
            </c:strRef>
          </c:cat>
          <c:val>
            <c:numRef>
              <c:f>'por periodo'!$G$2:$G$6</c:f>
              <c:numCache>
                <c:formatCode>0.00%</c:formatCode>
                <c:ptCount val="5"/>
                <c:pt idx="0">
                  <c:v>4.2577498120176013E-2</c:v>
                </c:pt>
                <c:pt idx="1">
                  <c:v>4.4099267817139395E-2</c:v>
                </c:pt>
                <c:pt idx="2">
                  <c:v>4.8299652382134725E-2</c:v>
                </c:pt>
                <c:pt idx="3">
                  <c:v>4.6052139621745078E-2</c:v>
                </c:pt>
                <c:pt idx="4">
                  <c:v>3.0642428922796679E-2</c:v>
                </c:pt>
              </c:numCache>
            </c:numRef>
          </c:val>
          <c:smooth val="1"/>
        </c:ser>
        <c:dLbls>
          <c:showVal val="1"/>
        </c:dLbls>
        <c:marker val="1"/>
        <c:axId val="177607424"/>
        <c:axId val="177608960"/>
      </c:lineChart>
      <c:catAx>
        <c:axId val="177607424"/>
        <c:scaling>
          <c:orientation val="minMax"/>
        </c:scaling>
        <c:delete val="1"/>
        <c:axPos val="b"/>
        <c:majorTickMark val="none"/>
        <c:tickLblPos val="nextTo"/>
        <c:crossAx val="177608960"/>
        <c:crosses val="autoZero"/>
        <c:lblAlgn val="ctr"/>
        <c:lblOffset val="100"/>
      </c:catAx>
      <c:valAx>
        <c:axId val="177608960"/>
        <c:scaling>
          <c:orientation val="minMax"/>
        </c:scaling>
        <c:axPos val="l"/>
        <c:numFmt formatCode="0%" sourceLinked="0"/>
        <c:majorTickMark val="in"/>
        <c:tickLblPos val="none"/>
        <c:crossAx val="177607424"/>
        <c:crosses val="autoZero"/>
        <c:crossBetween val="between"/>
      </c:valAx>
      <c:valAx>
        <c:axId val="177623040"/>
        <c:scaling>
          <c:orientation val="minMax"/>
        </c:scaling>
        <c:axPos val="r"/>
        <c:numFmt formatCode="0%" sourceLinked="0"/>
        <c:majorTickMark val="in"/>
        <c:tickLblPos val="none"/>
        <c:crossAx val="177624576"/>
        <c:crosses val="max"/>
        <c:crossBetween val="between"/>
      </c:valAx>
      <c:catAx>
        <c:axId val="177624576"/>
        <c:scaling>
          <c:orientation val="minMax"/>
        </c:scaling>
        <c:delete val="1"/>
        <c:axPos val="b"/>
        <c:tickLblPos val="nextTo"/>
        <c:crossAx val="177623040"/>
        <c:crosses val="autoZero"/>
        <c:auto val="1"/>
        <c:lblAlgn val="ctr"/>
        <c:lblOffset val="100"/>
      </c:catAx>
    </c:plotArea>
    <c:legend>
      <c:legendPos val="b"/>
    </c:legend>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CastroeSouza1988</b:Tag>
    <b:SourceType>BookSection</b:SourceType>
    <b:Guid>{92EA517A-A407-42DE-BD1B-4D40B13F9F23}</b:Guid>
    <b:LCID>0</b:LCID>
    <b:Author>
      <b:Author>
        <b:NameList>
          <b:Person>
            <b:Last>Castro</b:Last>
            <b:First>Antônio</b:First>
            <b:Middle>Barros de</b:Middle>
          </b:Person>
          <b:Person>
            <b:Last>Souza</b:Last>
            <b:First>Francisco</b:First>
            <b:Middle>Eduardo Pires de</b:Middle>
          </b:Person>
        </b:NameList>
      </b:Author>
    </b:Author>
    <b:Title>A economia brasileira em marcha forçada.</b:Title>
    <b:Year>1988</b:Year>
    <b:Pages>217 p</b:Pages>
    <b:City>São Paulo</b:City>
    <b:Publisher>Paz e Terra</b:Publisher>
    <b:Edition>2 ed</b:Edition>
    <b:RefOrder>1</b:RefOrder>
  </b:Source>
</b:Sources>
</file>

<file path=customXml/item2.xml><?xml version="1.0" encoding="utf-8"?>
<b:Sources xmlns:b="http://schemas.openxmlformats.org/officeDocument/2006/bibliography" xmlns="http://schemas.openxmlformats.org/officeDocument/2006/bibliography" SelectedStyle="\APA.XSL" StyleName="APA">
  <b:Source>
    <b:Tag>CastroeSouza1988</b:Tag>
    <b:SourceType>BookSection</b:SourceType>
    <b:Guid>{92EA517A-A407-42DE-BD1B-4D40B13F9F23}</b:Guid>
    <b:LCID>0</b:LCID>
    <b:Author>
      <b:Author>
        <b:NameList>
          <b:Person>
            <b:Last>Castro</b:Last>
            <b:First>Antônio</b:First>
            <b:Middle>Barros de</b:Middle>
          </b:Person>
          <b:Person>
            <b:Last>Souza</b:Last>
            <b:First>Francisco</b:First>
            <b:Middle>Eduardo Pires de</b:Middle>
          </b:Person>
        </b:NameList>
      </b:Author>
    </b:Author>
    <b:Title>A economia brasileira em marcha forçada.</b:Title>
    <b:Year>1988</b:Year>
    <b:Pages>217 p</b:Pages>
    <b:City>São Paulo</b:City>
    <b:Publisher>Paz e Terra</b:Publisher>
    <b:Edition>2 ed</b:Edition>
    <b:RefOrder>1</b:RefOrder>
  </b:Source>
</b:Sources>
</file>

<file path=customXml/itemProps1.xml><?xml version="1.0" encoding="utf-8"?>
<ds:datastoreItem xmlns:ds="http://schemas.openxmlformats.org/officeDocument/2006/customXml" ds:itemID="{175A1322-7960-49FC-96E5-C45806A0BC9D}">
  <ds:schemaRefs>
    <ds:schemaRef ds:uri="http://schemas.openxmlformats.org/officeDocument/2006/bibliography"/>
  </ds:schemaRefs>
</ds:datastoreItem>
</file>

<file path=customXml/itemProps2.xml><?xml version="1.0" encoding="utf-8"?>
<ds:datastoreItem xmlns:ds="http://schemas.openxmlformats.org/officeDocument/2006/customXml" ds:itemID="{E9F90A0A-7892-4B21-B78B-58453C03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27</Pages>
  <Words>9541</Words>
  <Characters>51523</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NOME DO ACADÊMICO</vt:lpstr>
    </vt:vector>
  </TitlesOfParts>
  <Company>UNESC</Company>
  <LinksUpToDate>false</LinksUpToDate>
  <CharactersWithSpaces>60943</CharactersWithSpaces>
  <SharedDoc>false</SharedDoc>
  <HLinks>
    <vt:vector size="570" baseType="variant">
      <vt:variant>
        <vt:i4>5898267</vt:i4>
      </vt:variant>
      <vt:variant>
        <vt:i4>567</vt:i4>
      </vt:variant>
      <vt:variant>
        <vt:i4>0</vt:i4>
      </vt:variant>
      <vt:variant>
        <vt:i4>5</vt:i4>
      </vt:variant>
      <vt:variant>
        <vt:lpwstr>http://www.spg.sc.gov.br/mapas/atlas/AtlasBranco.pdf</vt:lpwstr>
      </vt:variant>
      <vt:variant>
        <vt:lpwstr/>
      </vt:variant>
      <vt:variant>
        <vt:i4>9</vt:i4>
      </vt:variant>
      <vt:variant>
        <vt:i4>564</vt:i4>
      </vt:variant>
      <vt:variant>
        <vt:i4>0</vt:i4>
      </vt:variant>
      <vt:variant>
        <vt:i4>5</vt:i4>
      </vt:variant>
      <vt:variant>
        <vt:lpwstr>http://sigsc.sds.sc.gov.br/wms-urls/</vt:lpwstr>
      </vt:variant>
      <vt:variant>
        <vt:lpwstr/>
      </vt:variant>
      <vt:variant>
        <vt:i4>3407992</vt:i4>
      </vt:variant>
      <vt:variant>
        <vt:i4>561</vt:i4>
      </vt:variant>
      <vt:variant>
        <vt:i4>0</vt:i4>
      </vt:variant>
      <vt:variant>
        <vt:i4>5</vt:i4>
      </vt:variant>
      <vt:variant>
        <vt:lpwstr>http://sigsc.sc.gov.br/sigserver/SIGSC/wms</vt:lpwstr>
      </vt:variant>
      <vt:variant>
        <vt:lpwstr/>
      </vt:variant>
      <vt:variant>
        <vt:i4>5898267</vt:i4>
      </vt:variant>
      <vt:variant>
        <vt:i4>558</vt:i4>
      </vt:variant>
      <vt:variant>
        <vt:i4>0</vt:i4>
      </vt:variant>
      <vt:variant>
        <vt:i4>5</vt:i4>
      </vt:variant>
      <vt:variant>
        <vt:lpwstr>http://www.spg.sc.gov.br/mapas/atlas/AtlasBranco.pdf</vt:lpwstr>
      </vt:variant>
      <vt:variant>
        <vt:lpwstr/>
      </vt:variant>
      <vt:variant>
        <vt:i4>4980801</vt:i4>
      </vt:variant>
      <vt:variant>
        <vt:i4>555</vt:i4>
      </vt:variant>
      <vt:variant>
        <vt:i4>0</vt:i4>
      </vt:variant>
      <vt:variant>
        <vt:i4>5</vt:i4>
      </vt:variant>
      <vt:variant>
        <vt:lpwstr>http://www.camaracriciuma.sc.gov.br/upload/HISTORIA-CRICIUMA-ORGULHO-DE-CIDADE-VOL-I.pdf</vt:lpwstr>
      </vt:variant>
      <vt:variant>
        <vt:lpwstr/>
      </vt:variant>
      <vt:variant>
        <vt:i4>3080234</vt:i4>
      </vt:variant>
      <vt:variant>
        <vt:i4>552</vt:i4>
      </vt:variant>
      <vt:variant>
        <vt:i4>0</vt:i4>
      </vt:variant>
      <vt:variant>
        <vt:i4>5</vt:i4>
      </vt:variant>
      <vt:variant>
        <vt:lpwstr>http://www2.camara.leg.br/legin/fed/decret/1950-1959/decreto-40040-26-setembro-1956-332983-publicacaooriginal-1-pe.html</vt:lpwstr>
      </vt:variant>
      <vt:variant>
        <vt:lpwstr/>
      </vt:variant>
      <vt:variant>
        <vt:i4>1507353</vt:i4>
      </vt:variant>
      <vt:variant>
        <vt:i4>549</vt:i4>
      </vt:variant>
      <vt:variant>
        <vt:i4>0</vt:i4>
      </vt:variant>
      <vt:variant>
        <vt:i4>5</vt:i4>
      </vt:variant>
      <vt:variant>
        <vt:lpwstr>http://www2.camara.leg.br/legin/fed/decret/1950-1959/decreto-41019-26-fevereiro-1957-380053-publicacaooriginal-1-pe.html</vt:lpwstr>
      </vt:variant>
      <vt:variant>
        <vt:lpwstr/>
      </vt:variant>
      <vt:variant>
        <vt:i4>2949156</vt:i4>
      </vt:variant>
      <vt:variant>
        <vt:i4>546</vt:i4>
      </vt:variant>
      <vt:variant>
        <vt:i4>0</vt:i4>
      </vt:variant>
      <vt:variant>
        <vt:i4>5</vt:i4>
      </vt:variant>
      <vt:variant>
        <vt:lpwstr>http://www2.camara.leg.br/legin/fed/lei/1940-1949/lei-290-15-junho-1948-360679-publicacaooriginal-1-pl.html</vt:lpwstr>
      </vt:variant>
      <vt:variant>
        <vt:lpwstr/>
      </vt:variant>
      <vt:variant>
        <vt:i4>7471135</vt:i4>
      </vt:variant>
      <vt:variant>
        <vt:i4>543</vt:i4>
      </vt:variant>
      <vt:variant>
        <vt:i4>0</vt:i4>
      </vt:variant>
      <vt:variant>
        <vt:i4>5</vt:i4>
      </vt:variant>
      <vt:variant>
        <vt:lpwstr>http://agenciaal.alesc.sc.gov.br/index.php/noticia_single/colombo-salles-governador-por-acidente. Acesso em 15/04/2016</vt:lpwstr>
      </vt:variant>
      <vt:variant>
        <vt:lpwstr/>
      </vt:variant>
      <vt:variant>
        <vt:i4>1638407</vt:i4>
      </vt:variant>
      <vt:variant>
        <vt:i4>540</vt:i4>
      </vt:variant>
      <vt:variant>
        <vt:i4>0</vt:i4>
      </vt:variant>
      <vt:variant>
        <vt:i4>5</vt:i4>
      </vt:variant>
      <vt:variant>
        <vt:lpwstr>http://rwbrasil.net/memoria-rwb-entrevista-com-alcides-abreu-para-sempre/</vt:lpwstr>
      </vt:variant>
      <vt:variant>
        <vt:lpwstr/>
      </vt:variant>
      <vt:variant>
        <vt:i4>5177416</vt:i4>
      </vt:variant>
      <vt:variant>
        <vt:i4>537</vt:i4>
      </vt:variant>
      <vt:variant>
        <vt:i4>0</vt:i4>
      </vt:variant>
      <vt:variant>
        <vt:i4>5</vt:i4>
      </vt:variant>
      <vt:variant>
        <vt:lpwstr>http://www.senado.gov.br/</vt:lpwstr>
      </vt:variant>
      <vt:variant>
        <vt:lpwstr/>
      </vt:variant>
      <vt:variant>
        <vt:i4>8257581</vt:i4>
      </vt:variant>
      <vt:variant>
        <vt:i4>534</vt:i4>
      </vt:variant>
      <vt:variant>
        <vt:i4>0</vt:i4>
      </vt:variant>
      <vt:variant>
        <vt:i4>5</vt:i4>
      </vt:variant>
      <vt:variant>
        <vt:lpwstr>http://memoria.nemesis.org.br/</vt:lpwstr>
      </vt:variant>
      <vt:variant>
        <vt:lpwstr/>
      </vt:variant>
      <vt:variant>
        <vt:i4>7733370</vt:i4>
      </vt:variant>
      <vt:variant>
        <vt:i4>531</vt:i4>
      </vt:variant>
      <vt:variant>
        <vt:i4>0</vt:i4>
      </vt:variant>
      <vt:variant>
        <vt:i4>5</vt:i4>
      </vt:variant>
      <vt:variant>
        <vt:lpwstr>http://memoria.bn.br/hdb/periodico.aspx</vt:lpwstr>
      </vt:variant>
      <vt:variant>
        <vt:lpwstr/>
      </vt:variant>
      <vt:variant>
        <vt:i4>196618</vt:i4>
      </vt:variant>
      <vt:variant>
        <vt:i4>528</vt:i4>
      </vt:variant>
      <vt:variant>
        <vt:i4>0</vt:i4>
      </vt:variant>
      <vt:variant>
        <vt:i4>5</vt:i4>
      </vt:variant>
      <vt:variant>
        <vt:lpwstr>http://www.eletrosul.gov.br/home/conteudo.php?cd=1031</vt:lpwstr>
      </vt:variant>
      <vt:variant>
        <vt:lpwstr/>
      </vt:variant>
      <vt:variant>
        <vt:i4>6881321</vt:i4>
      </vt:variant>
      <vt:variant>
        <vt:i4>525</vt:i4>
      </vt:variant>
      <vt:variant>
        <vt:i4>0</vt:i4>
      </vt:variant>
      <vt:variant>
        <vt:i4>5</vt:i4>
      </vt:variant>
      <vt:variant>
        <vt:lpwstr>http://www.memoriadaeletricidade.com.br/default.asp?pag=6&amp;codTit1=44356&amp;pagina=destaques/linha/1948-1963&amp;menu=381&amp;iEmpresa=Menu</vt:lpwstr>
      </vt:variant>
      <vt:variant>
        <vt:lpwstr/>
      </vt:variant>
      <vt:variant>
        <vt:i4>3407976</vt:i4>
      </vt:variant>
      <vt:variant>
        <vt:i4>522</vt:i4>
      </vt:variant>
      <vt:variant>
        <vt:i4>0</vt:i4>
      </vt:variant>
      <vt:variant>
        <vt:i4>5</vt:i4>
      </vt:variant>
      <vt:variant>
        <vt:lpwstr>http://www.crl.edu/</vt:lpwstr>
      </vt:variant>
      <vt:variant>
        <vt:lpwstr/>
      </vt:variant>
      <vt:variant>
        <vt:i4>6815807</vt:i4>
      </vt:variant>
      <vt:variant>
        <vt:i4>519</vt:i4>
      </vt:variant>
      <vt:variant>
        <vt:i4>0</vt:i4>
      </vt:variant>
      <vt:variant>
        <vt:i4>5</vt:i4>
      </vt:variant>
      <vt:variant>
        <vt:lpwstr>http://novoportal.celesc.com.br/portal/index.php/celesc-holding</vt:lpwstr>
      </vt:variant>
      <vt:variant>
        <vt:lpwstr/>
      </vt:variant>
      <vt:variant>
        <vt:i4>3866661</vt:i4>
      </vt:variant>
      <vt:variant>
        <vt:i4>516</vt:i4>
      </vt:variant>
      <vt:variant>
        <vt:i4>0</vt:i4>
      </vt:variant>
      <vt:variant>
        <vt:i4>5</vt:i4>
      </vt:variant>
      <vt:variant>
        <vt:lpwstr>http://www.ceee.com.br/pportal/ceee/Component/Controller.aspx?CC=12457</vt:lpwstr>
      </vt:variant>
      <vt:variant>
        <vt:lpwstr/>
      </vt:variant>
      <vt:variant>
        <vt:i4>4849730</vt:i4>
      </vt:variant>
      <vt:variant>
        <vt:i4>513</vt:i4>
      </vt:variant>
      <vt:variant>
        <vt:i4>0</vt:i4>
      </vt:variant>
      <vt:variant>
        <vt:i4>5</vt:i4>
      </vt:variant>
      <vt:variant>
        <vt:lpwstr>http://www.camara.gov.br/</vt:lpwstr>
      </vt:variant>
      <vt:variant>
        <vt:lpwstr/>
      </vt:variant>
      <vt:variant>
        <vt:i4>7209069</vt:i4>
      </vt:variant>
      <vt:variant>
        <vt:i4>510</vt:i4>
      </vt:variant>
      <vt:variant>
        <vt:i4>0</vt:i4>
      </vt:variant>
      <vt:variant>
        <vt:i4>5</vt:i4>
      </vt:variant>
      <vt:variant>
        <vt:lpwstr>http://hemeroteca.ciasc.sc.gov.br/</vt:lpwstr>
      </vt:variant>
      <vt:variant>
        <vt:lpwstr/>
      </vt:variant>
      <vt:variant>
        <vt:i4>7995435</vt:i4>
      </vt:variant>
      <vt:variant>
        <vt:i4>507</vt:i4>
      </vt:variant>
      <vt:variant>
        <vt:i4>0</vt:i4>
      </vt:variant>
      <vt:variant>
        <vt:i4>5</vt:i4>
      </vt:variant>
      <vt:variant>
        <vt:lpwstr>http://www.abradee.com.br/</vt:lpwstr>
      </vt:variant>
      <vt:variant>
        <vt:lpwstr/>
      </vt:variant>
      <vt:variant>
        <vt:i4>7864370</vt:i4>
      </vt:variant>
      <vt:variant>
        <vt:i4>504</vt:i4>
      </vt:variant>
      <vt:variant>
        <vt:i4>0</vt:i4>
      </vt:variant>
      <vt:variant>
        <vt:i4>5</vt:i4>
      </vt:variant>
      <vt:variant>
        <vt:lpwstr>http://www2.aneel.gov.br/aplicacoes/ResumoEstadual/CapacidadeEstado.cfm?cmbEstados=SC:SANTA%20CATARINA</vt:lpwstr>
      </vt:variant>
      <vt:variant>
        <vt:lpwstr/>
      </vt:variant>
      <vt:variant>
        <vt:i4>1638489</vt:i4>
      </vt:variant>
      <vt:variant>
        <vt:i4>501</vt:i4>
      </vt:variant>
      <vt:variant>
        <vt:i4>0</vt:i4>
      </vt:variant>
      <vt:variant>
        <vt:i4>5</vt:i4>
      </vt:variant>
      <vt:variant>
        <vt:lpwstr>http://www.uni-goettingen.de/de/document/download/17fbbe0f0f7a38c804cf65a83d78d111.pdf/Wilkins, The Free- Standing Company Revisited.pdf</vt:lpwstr>
      </vt:variant>
      <vt:variant>
        <vt:lpwstr/>
      </vt:variant>
      <vt:variant>
        <vt:i4>786443</vt:i4>
      </vt:variant>
      <vt:variant>
        <vt:i4>498</vt:i4>
      </vt:variant>
      <vt:variant>
        <vt:i4>0</vt:i4>
      </vt:variant>
      <vt:variant>
        <vt:i4>5</vt:i4>
      </vt:variant>
      <vt:variant>
        <vt:lpwstr>http://analisesocial.ics.ul.pt/documentos/AS_214_a02.pdf</vt:lpwstr>
      </vt:variant>
      <vt:variant>
        <vt:lpwstr/>
      </vt:variant>
      <vt:variant>
        <vt:i4>720966</vt:i4>
      </vt:variant>
      <vt:variant>
        <vt:i4>492</vt:i4>
      </vt:variant>
      <vt:variant>
        <vt:i4>0</vt:i4>
      </vt:variant>
      <vt:variant>
        <vt:i4>5</vt:i4>
      </vt:variant>
      <vt:variant>
        <vt:lpwstr>https://www.ccee.org.br/</vt:lpwstr>
      </vt:variant>
      <vt:variant>
        <vt:lpwstr/>
      </vt:variant>
      <vt:variant>
        <vt:i4>1310768</vt:i4>
      </vt:variant>
      <vt:variant>
        <vt:i4>425</vt:i4>
      </vt:variant>
      <vt:variant>
        <vt:i4>0</vt:i4>
      </vt:variant>
      <vt:variant>
        <vt:i4>5</vt:i4>
      </vt:variant>
      <vt:variant>
        <vt:lpwstr/>
      </vt:variant>
      <vt:variant>
        <vt:lpwstr>_Toc485319011</vt:lpwstr>
      </vt:variant>
      <vt:variant>
        <vt:i4>1310768</vt:i4>
      </vt:variant>
      <vt:variant>
        <vt:i4>419</vt:i4>
      </vt:variant>
      <vt:variant>
        <vt:i4>0</vt:i4>
      </vt:variant>
      <vt:variant>
        <vt:i4>5</vt:i4>
      </vt:variant>
      <vt:variant>
        <vt:lpwstr/>
      </vt:variant>
      <vt:variant>
        <vt:lpwstr>_Toc485319010</vt:lpwstr>
      </vt:variant>
      <vt:variant>
        <vt:i4>1376304</vt:i4>
      </vt:variant>
      <vt:variant>
        <vt:i4>413</vt:i4>
      </vt:variant>
      <vt:variant>
        <vt:i4>0</vt:i4>
      </vt:variant>
      <vt:variant>
        <vt:i4>5</vt:i4>
      </vt:variant>
      <vt:variant>
        <vt:lpwstr/>
      </vt:variant>
      <vt:variant>
        <vt:lpwstr>_Toc485319009</vt:lpwstr>
      </vt:variant>
      <vt:variant>
        <vt:i4>1376304</vt:i4>
      </vt:variant>
      <vt:variant>
        <vt:i4>407</vt:i4>
      </vt:variant>
      <vt:variant>
        <vt:i4>0</vt:i4>
      </vt:variant>
      <vt:variant>
        <vt:i4>5</vt:i4>
      </vt:variant>
      <vt:variant>
        <vt:lpwstr/>
      </vt:variant>
      <vt:variant>
        <vt:lpwstr>_Toc485319008</vt:lpwstr>
      </vt:variant>
      <vt:variant>
        <vt:i4>1376304</vt:i4>
      </vt:variant>
      <vt:variant>
        <vt:i4>401</vt:i4>
      </vt:variant>
      <vt:variant>
        <vt:i4>0</vt:i4>
      </vt:variant>
      <vt:variant>
        <vt:i4>5</vt:i4>
      </vt:variant>
      <vt:variant>
        <vt:lpwstr/>
      </vt:variant>
      <vt:variant>
        <vt:lpwstr>_Toc485319007</vt:lpwstr>
      </vt:variant>
      <vt:variant>
        <vt:i4>1900601</vt:i4>
      </vt:variant>
      <vt:variant>
        <vt:i4>392</vt:i4>
      </vt:variant>
      <vt:variant>
        <vt:i4>0</vt:i4>
      </vt:variant>
      <vt:variant>
        <vt:i4>5</vt:i4>
      </vt:variant>
      <vt:variant>
        <vt:lpwstr/>
      </vt:variant>
      <vt:variant>
        <vt:lpwstr>_Toc485318995</vt:lpwstr>
      </vt:variant>
      <vt:variant>
        <vt:i4>1900601</vt:i4>
      </vt:variant>
      <vt:variant>
        <vt:i4>386</vt:i4>
      </vt:variant>
      <vt:variant>
        <vt:i4>0</vt:i4>
      </vt:variant>
      <vt:variant>
        <vt:i4>5</vt:i4>
      </vt:variant>
      <vt:variant>
        <vt:lpwstr/>
      </vt:variant>
      <vt:variant>
        <vt:lpwstr>_Toc485318994</vt:lpwstr>
      </vt:variant>
      <vt:variant>
        <vt:i4>1900601</vt:i4>
      </vt:variant>
      <vt:variant>
        <vt:i4>380</vt:i4>
      </vt:variant>
      <vt:variant>
        <vt:i4>0</vt:i4>
      </vt:variant>
      <vt:variant>
        <vt:i4>5</vt:i4>
      </vt:variant>
      <vt:variant>
        <vt:lpwstr/>
      </vt:variant>
      <vt:variant>
        <vt:lpwstr>_Toc485318993</vt:lpwstr>
      </vt:variant>
      <vt:variant>
        <vt:i4>1900601</vt:i4>
      </vt:variant>
      <vt:variant>
        <vt:i4>374</vt:i4>
      </vt:variant>
      <vt:variant>
        <vt:i4>0</vt:i4>
      </vt:variant>
      <vt:variant>
        <vt:i4>5</vt:i4>
      </vt:variant>
      <vt:variant>
        <vt:lpwstr/>
      </vt:variant>
      <vt:variant>
        <vt:lpwstr>_Toc485318992</vt:lpwstr>
      </vt:variant>
      <vt:variant>
        <vt:i4>1900601</vt:i4>
      </vt:variant>
      <vt:variant>
        <vt:i4>368</vt:i4>
      </vt:variant>
      <vt:variant>
        <vt:i4>0</vt:i4>
      </vt:variant>
      <vt:variant>
        <vt:i4>5</vt:i4>
      </vt:variant>
      <vt:variant>
        <vt:lpwstr/>
      </vt:variant>
      <vt:variant>
        <vt:lpwstr>_Toc485318991</vt:lpwstr>
      </vt:variant>
      <vt:variant>
        <vt:i4>1900601</vt:i4>
      </vt:variant>
      <vt:variant>
        <vt:i4>362</vt:i4>
      </vt:variant>
      <vt:variant>
        <vt:i4>0</vt:i4>
      </vt:variant>
      <vt:variant>
        <vt:i4>5</vt:i4>
      </vt:variant>
      <vt:variant>
        <vt:lpwstr/>
      </vt:variant>
      <vt:variant>
        <vt:lpwstr>_Toc485318990</vt:lpwstr>
      </vt:variant>
      <vt:variant>
        <vt:i4>1835065</vt:i4>
      </vt:variant>
      <vt:variant>
        <vt:i4>356</vt:i4>
      </vt:variant>
      <vt:variant>
        <vt:i4>0</vt:i4>
      </vt:variant>
      <vt:variant>
        <vt:i4>5</vt:i4>
      </vt:variant>
      <vt:variant>
        <vt:lpwstr/>
      </vt:variant>
      <vt:variant>
        <vt:lpwstr>_Toc485318989</vt:lpwstr>
      </vt:variant>
      <vt:variant>
        <vt:i4>1835065</vt:i4>
      </vt:variant>
      <vt:variant>
        <vt:i4>350</vt:i4>
      </vt:variant>
      <vt:variant>
        <vt:i4>0</vt:i4>
      </vt:variant>
      <vt:variant>
        <vt:i4>5</vt:i4>
      </vt:variant>
      <vt:variant>
        <vt:lpwstr/>
      </vt:variant>
      <vt:variant>
        <vt:lpwstr>_Toc485318988</vt:lpwstr>
      </vt:variant>
      <vt:variant>
        <vt:i4>1835065</vt:i4>
      </vt:variant>
      <vt:variant>
        <vt:i4>344</vt:i4>
      </vt:variant>
      <vt:variant>
        <vt:i4>0</vt:i4>
      </vt:variant>
      <vt:variant>
        <vt:i4>5</vt:i4>
      </vt:variant>
      <vt:variant>
        <vt:lpwstr/>
      </vt:variant>
      <vt:variant>
        <vt:lpwstr>_Toc485318987</vt:lpwstr>
      </vt:variant>
      <vt:variant>
        <vt:i4>1835065</vt:i4>
      </vt:variant>
      <vt:variant>
        <vt:i4>338</vt:i4>
      </vt:variant>
      <vt:variant>
        <vt:i4>0</vt:i4>
      </vt:variant>
      <vt:variant>
        <vt:i4>5</vt:i4>
      </vt:variant>
      <vt:variant>
        <vt:lpwstr/>
      </vt:variant>
      <vt:variant>
        <vt:lpwstr>_Toc485318986</vt:lpwstr>
      </vt:variant>
      <vt:variant>
        <vt:i4>1835065</vt:i4>
      </vt:variant>
      <vt:variant>
        <vt:i4>332</vt:i4>
      </vt:variant>
      <vt:variant>
        <vt:i4>0</vt:i4>
      </vt:variant>
      <vt:variant>
        <vt:i4>5</vt:i4>
      </vt:variant>
      <vt:variant>
        <vt:lpwstr/>
      </vt:variant>
      <vt:variant>
        <vt:lpwstr>_Toc485318985</vt:lpwstr>
      </vt:variant>
      <vt:variant>
        <vt:i4>1835065</vt:i4>
      </vt:variant>
      <vt:variant>
        <vt:i4>326</vt:i4>
      </vt:variant>
      <vt:variant>
        <vt:i4>0</vt:i4>
      </vt:variant>
      <vt:variant>
        <vt:i4>5</vt:i4>
      </vt:variant>
      <vt:variant>
        <vt:lpwstr/>
      </vt:variant>
      <vt:variant>
        <vt:lpwstr>_Toc485318984</vt:lpwstr>
      </vt:variant>
      <vt:variant>
        <vt:i4>1179705</vt:i4>
      </vt:variant>
      <vt:variant>
        <vt:i4>317</vt:i4>
      </vt:variant>
      <vt:variant>
        <vt:i4>0</vt:i4>
      </vt:variant>
      <vt:variant>
        <vt:i4>5</vt:i4>
      </vt:variant>
      <vt:variant>
        <vt:lpwstr/>
      </vt:variant>
      <vt:variant>
        <vt:lpwstr>_Toc485318962</vt:lpwstr>
      </vt:variant>
      <vt:variant>
        <vt:i4>1179705</vt:i4>
      </vt:variant>
      <vt:variant>
        <vt:i4>311</vt:i4>
      </vt:variant>
      <vt:variant>
        <vt:i4>0</vt:i4>
      </vt:variant>
      <vt:variant>
        <vt:i4>5</vt:i4>
      </vt:variant>
      <vt:variant>
        <vt:lpwstr/>
      </vt:variant>
      <vt:variant>
        <vt:lpwstr>_Toc485318961</vt:lpwstr>
      </vt:variant>
      <vt:variant>
        <vt:i4>1179705</vt:i4>
      </vt:variant>
      <vt:variant>
        <vt:i4>305</vt:i4>
      </vt:variant>
      <vt:variant>
        <vt:i4>0</vt:i4>
      </vt:variant>
      <vt:variant>
        <vt:i4>5</vt:i4>
      </vt:variant>
      <vt:variant>
        <vt:lpwstr/>
      </vt:variant>
      <vt:variant>
        <vt:lpwstr>_Toc485318960</vt:lpwstr>
      </vt:variant>
      <vt:variant>
        <vt:i4>1114169</vt:i4>
      </vt:variant>
      <vt:variant>
        <vt:i4>299</vt:i4>
      </vt:variant>
      <vt:variant>
        <vt:i4>0</vt:i4>
      </vt:variant>
      <vt:variant>
        <vt:i4>5</vt:i4>
      </vt:variant>
      <vt:variant>
        <vt:lpwstr/>
      </vt:variant>
      <vt:variant>
        <vt:lpwstr>_Toc485318959</vt:lpwstr>
      </vt:variant>
      <vt:variant>
        <vt:i4>1114169</vt:i4>
      </vt:variant>
      <vt:variant>
        <vt:i4>293</vt:i4>
      </vt:variant>
      <vt:variant>
        <vt:i4>0</vt:i4>
      </vt:variant>
      <vt:variant>
        <vt:i4>5</vt:i4>
      </vt:variant>
      <vt:variant>
        <vt:lpwstr/>
      </vt:variant>
      <vt:variant>
        <vt:lpwstr>_Toc485318958</vt:lpwstr>
      </vt:variant>
      <vt:variant>
        <vt:i4>1114169</vt:i4>
      </vt:variant>
      <vt:variant>
        <vt:i4>287</vt:i4>
      </vt:variant>
      <vt:variant>
        <vt:i4>0</vt:i4>
      </vt:variant>
      <vt:variant>
        <vt:i4>5</vt:i4>
      </vt:variant>
      <vt:variant>
        <vt:lpwstr/>
      </vt:variant>
      <vt:variant>
        <vt:lpwstr>_Toc485318957</vt:lpwstr>
      </vt:variant>
      <vt:variant>
        <vt:i4>1114169</vt:i4>
      </vt:variant>
      <vt:variant>
        <vt:i4>281</vt:i4>
      </vt:variant>
      <vt:variant>
        <vt:i4>0</vt:i4>
      </vt:variant>
      <vt:variant>
        <vt:i4>5</vt:i4>
      </vt:variant>
      <vt:variant>
        <vt:lpwstr/>
      </vt:variant>
      <vt:variant>
        <vt:lpwstr>_Toc485318956</vt:lpwstr>
      </vt:variant>
      <vt:variant>
        <vt:i4>1245234</vt:i4>
      </vt:variant>
      <vt:variant>
        <vt:i4>272</vt:i4>
      </vt:variant>
      <vt:variant>
        <vt:i4>0</vt:i4>
      </vt:variant>
      <vt:variant>
        <vt:i4>5</vt:i4>
      </vt:variant>
      <vt:variant>
        <vt:lpwstr/>
      </vt:variant>
      <vt:variant>
        <vt:lpwstr>_Toc485319263</vt:lpwstr>
      </vt:variant>
      <vt:variant>
        <vt:i4>1245234</vt:i4>
      </vt:variant>
      <vt:variant>
        <vt:i4>266</vt:i4>
      </vt:variant>
      <vt:variant>
        <vt:i4>0</vt:i4>
      </vt:variant>
      <vt:variant>
        <vt:i4>5</vt:i4>
      </vt:variant>
      <vt:variant>
        <vt:lpwstr/>
      </vt:variant>
      <vt:variant>
        <vt:lpwstr>_Toc485319262</vt:lpwstr>
      </vt:variant>
      <vt:variant>
        <vt:i4>1245234</vt:i4>
      </vt:variant>
      <vt:variant>
        <vt:i4>260</vt:i4>
      </vt:variant>
      <vt:variant>
        <vt:i4>0</vt:i4>
      </vt:variant>
      <vt:variant>
        <vt:i4>5</vt:i4>
      </vt:variant>
      <vt:variant>
        <vt:lpwstr/>
      </vt:variant>
      <vt:variant>
        <vt:lpwstr>_Toc485319261</vt:lpwstr>
      </vt:variant>
      <vt:variant>
        <vt:i4>1245234</vt:i4>
      </vt:variant>
      <vt:variant>
        <vt:i4>254</vt:i4>
      </vt:variant>
      <vt:variant>
        <vt:i4>0</vt:i4>
      </vt:variant>
      <vt:variant>
        <vt:i4>5</vt:i4>
      </vt:variant>
      <vt:variant>
        <vt:lpwstr/>
      </vt:variant>
      <vt:variant>
        <vt:lpwstr>_Toc485319260</vt:lpwstr>
      </vt:variant>
      <vt:variant>
        <vt:i4>1048626</vt:i4>
      </vt:variant>
      <vt:variant>
        <vt:i4>248</vt:i4>
      </vt:variant>
      <vt:variant>
        <vt:i4>0</vt:i4>
      </vt:variant>
      <vt:variant>
        <vt:i4>5</vt:i4>
      </vt:variant>
      <vt:variant>
        <vt:lpwstr/>
      </vt:variant>
      <vt:variant>
        <vt:lpwstr>_Toc485319259</vt:lpwstr>
      </vt:variant>
      <vt:variant>
        <vt:i4>1048626</vt:i4>
      </vt:variant>
      <vt:variant>
        <vt:i4>242</vt:i4>
      </vt:variant>
      <vt:variant>
        <vt:i4>0</vt:i4>
      </vt:variant>
      <vt:variant>
        <vt:i4>5</vt:i4>
      </vt:variant>
      <vt:variant>
        <vt:lpwstr/>
      </vt:variant>
      <vt:variant>
        <vt:lpwstr>_Toc485319258</vt:lpwstr>
      </vt:variant>
      <vt:variant>
        <vt:i4>1048626</vt:i4>
      </vt:variant>
      <vt:variant>
        <vt:i4>236</vt:i4>
      </vt:variant>
      <vt:variant>
        <vt:i4>0</vt:i4>
      </vt:variant>
      <vt:variant>
        <vt:i4>5</vt:i4>
      </vt:variant>
      <vt:variant>
        <vt:lpwstr/>
      </vt:variant>
      <vt:variant>
        <vt:lpwstr>_Toc485319257</vt:lpwstr>
      </vt:variant>
      <vt:variant>
        <vt:i4>1048626</vt:i4>
      </vt:variant>
      <vt:variant>
        <vt:i4>230</vt:i4>
      </vt:variant>
      <vt:variant>
        <vt:i4>0</vt:i4>
      </vt:variant>
      <vt:variant>
        <vt:i4>5</vt:i4>
      </vt:variant>
      <vt:variant>
        <vt:lpwstr/>
      </vt:variant>
      <vt:variant>
        <vt:lpwstr>_Toc485319256</vt:lpwstr>
      </vt:variant>
      <vt:variant>
        <vt:i4>1048626</vt:i4>
      </vt:variant>
      <vt:variant>
        <vt:i4>224</vt:i4>
      </vt:variant>
      <vt:variant>
        <vt:i4>0</vt:i4>
      </vt:variant>
      <vt:variant>
        <vt:i4>5</vt:i4>
      </vt:variant>
      <vt:variant>
        <vt:lpwstr/>
      </vt:variant>
      <vt:variant>
        <vt:lpwstr>_Toc485319255</vt:lpwstr>
      </vt:variant>
      <vt:variant>
        <vt:i4>1048626</vt:i4>
      </vt:variant>
      <vt:variant>
        <vt:i4>218</vt:i4>
      </vt:variant>
      <vt:variant>
        <vt:i4>0</vt:i4>
      </vt:variant>
      <vt:variant>
        <vt:i4>5</vt:i4>
      </vt:variant>
      <vt:variant>
        <vt:lpwstr/>
      </vt:variant>
      <vt:variant>
        <vt:lpwstr>_Toc485319254</vt:lpwstr>
      </vt:variant>
      <vt:variant>
        <vt:i4>1048626</vt:i4>
      </vt:variant>
      <vt:variant>
        <vt:i4>212</vt:i4>
      </vt:variant>
      <vt:variant>
        <vt:i4>0</vt:i4>
      </vt:variant>
      <vt:variant>
        <vt:i4>5</vt:i4>
      </vt:variant>
      <vt:variant>
        <vt:lpwstr/>
      </vt:variant>
      <vt:variant>
        <vt:lpwstr>_Toc485319253</vt:lpwstr>
      </vt:variant>
      <vt:variant>
        <vt:i4>1048626</vt:i4>
      </vt:variant>
      <vt:variant>
        <vt:i4>206</vt:i4>
      </vt:variant>
      <vt:variant>
        <vt:i4>0</vt:i4>
      </vt:variant>
      <vt:variant>
        <vt:i4>5</vt:i4>
      </vt:variant>
      <vt:variant>
        <vt:lpwstr/>
      </vt:variant>
      <vt:variant>
        <vt:lpwstr>_Toc485319252</vt:lpwstr>
      </vt:variant>
      <vt:variant>
        <vt:i4>1048626</vt:i4>
      </vt:variant>
      <vt:variant>
        <vt:i4>200</vt:i4>
      </vt:variant>
      <vt:variant>
        <vt:i4>0</vt:i4>
      </vt:variant>
      <vt:variant>
        <vt:i4>5</vt:i4>
      </vt:variant>
      <vt:variant>
        <vt:lpwstr/>
      </vt:variant>
      <vt:variant>
        <vt:lpwstr>_Toc485319251</vt:lpwstr>
      </vt:variant>
      <vt:variant>
        <vt:i4>1048626</vt:i4>
      </vt:variant>
      <vt:variant>
        <vt:i4>194</vt:i4>
      </vt:variant>
      <vt:variant>
        <vt:i4>0</vt:i4>
      </vt:variant>
      <vt:variant>
        <vt:i4>5</vt:i4>
      </vt:variant>
      <vt:variant>
        <vt:lpwstr/>
      </vt:variant>
      <vt:variant>
        <vt:lpwstr>_Toc485319250</vt:lpwstr>
      </vt:variant>
      <vt:variant>
        <vt:i4>1114162</vt:i4>
      </vt:variant>
      <vt:variant>
        <vt:i4>188</vt:i4>
      </vt:variant>
      <vt:variant>
        <vt:i4>0</vt:i4>
      </vt:variant>
      <vt:variant>
        <vt:i4>5</vt:i4>
      </vt:variant>
      <vt:variant>
        <vt:lpwstr/>
      </vt:variant>
      <vt:variant>
        <vt:lpwstr>_Toc485319249</vt:lpwstr>
      </vt:variant>
      <vt:variant>
        <vt:i4>1114162</vt:i4>
      </vt:variant>
      <vt:variant>
        <vt:i4>182</vt:i4>
      </vt:variant>
      <vt:variant>
        <vt:i4>0</vt:i4>
      </vt:variant>
      <vt:variant>
        <vt:i4>5</vt:i4>
      </vt:variant>
      <vt:variant>
        <vt:lpwstr/>
      </vt:variant>
      <vt:variant>
        <vt:lpwstr>_Toc485319248</vt:lpwstr>
      </vt:variant>
      <vt:variant>
        <vt:i4>1114162</vt:i4>
      </vt:variant>
      <vt:variant>
        <vt:i4>176</vt:i4>
      </vt:variant>
      <vt:variant>
        <vt:i4>0</vt:i4>
      </vt:variant>
      <vt:variant>
        <vt:i4>5</vt:i4>
      </vt:variant>
      <vt:variant>
        <vt:lpwstr/>
      </vt:variant>
      <vt:variant>
        <vt:lpwstr>_Toc485319247</vt:lpwstr>
      </vt:variant>
      <vt:variant>
        <vt:i4>1114162</vt:i4>
      </vt:variant>
      <vt:variant>
        <vt:i4>170</vt:i4>
      </vt:variant>
      <vt:variant>
        <vt:i4>0</vt:i4>
      </vt:variant>
      <vt:variant>
        <vt:i4>5</vt:i4>
      </vt:variant>
      <vt:variant>
        <vt:lpwstr/>
      </vt:variant>
      <vt:variant>
        <vt:lpwstr>_Toc485319246</vt:lpwstr>
      </vt:variant>
      <vt:variant>
        <vt:i4>1114162</vt:i4>
      </vt:variant>
      <vt:variant>
        <vt:i4>164</vt:i4>
      </vt:variant>
      <vt:variant>
        <vt:i4>0</vt:i4>
      </vt:variant>
      <vt:variant>
        <vt:i4>5</vt:i4>
      </vt:variant>
      <vt:variant>
        <vt:lpwstr/>
      </vt:variant>
      <vt:variant>
        <vt:lpwstr>_Toc485319245</vt:lpwstr>
      </vt:variant>
      <vt:variant>
        <vt:i4>1114162</vt:i4>
      </vt:variant>
      <vt:variant>
        <vt:i4>158</vt:i4>
      </vt:variant>
      <vt:variant>
        <vt:i4>0</vt:i4>
      </vt:variant>
      <vt:variant>
        <vt:i4>5</vt:i4>
      </vt:variant>
      <vt:variant>
        <vt:lpwstr/>
      </vt:variant>
      <vt:variant>
        <vt:lpwstr>_Toc485319244</vt:lpwstr>
      </vt:variant>
      <vt:variant>
        <vt:i4>1114162</vt:i4>
      </vt:variant>
      <vt:variant>
        <vt:i4>152</vt:i4>
      </vt:variant>
      <vt:variant>
        <vt:i4>0</vt:i4>
      </vt:variant>
      <vt:variant>
        <vt:i4>5</vt:i4>
      </vt:variant>
      <vt:variant>
        <vt:lpwstr/>
      </vt:variant>
      <vt:variant>
        <vt:lpwstr>_Toc485319243</vt:lpwstr>
      </vt:variant>
      <vt:variant>
        <vt:i4>1114162</vt:i4>
      </vt:variant>
      <vt:variant>
        <vt:i4>146</vt:i4>
      </vt:variant>
      <vt:variant>
        <vt:i4>0</vt:i4>
      </vt:variant>
      <vt:variant>
        <vt:i4>5</vt:i4>
      </vt:variant>
      <vt:variant>
        <vt:lpwstr/>
      </vt:variant>
      <vt:variant>
        <vt:lpwstr>_Toc485319242</vt:lpwstr>
      </vt:variant>
      <vt:variant>
        <vt:i4>1114162</vt:i4>
      </vt:variant>
      <vt:variant>
        <vt:i4>140</vt:i4>
      </vt:variant>
      <vt:variant>
        <vt:i4>0</vt:i4>
      </vt:variant>
      <vt:variant>
        <vt:i4>5</vt:i4>
      </vt:variant>
      <vt:variant>
        <vt:lpwstr/>
      </vt:variant>
      <vt:variant>
        <vt:lpwstr>_Toc485319241</vt:lpwstr>
      </vt:variant>
      <vt:variant>
        <vt:i4>1114162</vt:i4>
      </vt:variant>
      <vt:variant>
        <vt:i4>134</vt:i4>
      </vt:variant>
      <vt:variant>
        <vt:i4>0</vt:i4>
      </vt:variant>
      <vt:variant>
        <vt:i4>5</vt:i4>
      </vt:variant>
      <vt:variant>
        <vt:lpwstr/>
      </vt:variant>
      <vt:variant>
        <vt:lpwstr>_Toc485319240</vt:lpwstr>
      </vt:variant>
      <vt:variant>
        <vt:i4>1441842</vt:i4>
      </vt:variant>
      <vt:variant>
        <vt:i4>128</vt:i4>
      </vt:variant>
      <vt:variant>
        <vt:i4>0</vt:i4>
      </vt:variant>
      <vt:variant>
        <vt:i4>5</vt:i4>
      </vt:variant>
      <vt:variant>
        <vt:lpwstr/>
      </vt:variant>
      <vt:variant>
        <vt:lpwstr>_Toc485319239</vt:lpwstr>
      </vt:variant>
      <vt:variant>
        <vt:i4>1441842</vt:i4>
      </vt:variant>
      <vt:variant>
        <vt:i4>122</vt:i4>
      </vt:variant>
      <vt:variant>
        <vt:i4>0</vt:i4>
      </vt:variant>
      <vt:variant>
        <vt:i4>5</vt:i4>
      </vt:variant>
      <vt:variant>
        <vt:lpwstr/>
      </vt:variant>
      <vt:variant>
        <vt:lpwstr>_Toc485319238</vt:lpwstr>
      </vt:variant>
      <vt:variant>
        <vt:i4>1441842</vt:i4>
      </vt:variant>
      <vt:variant>
        <vt:i4>116</vt:i4>
      </vt:variant>
      <vt:variant>
        <vt:i4>0</vt:i4>
      </vt:variant>
      <vt:variant>
        <vt:i4>5</vt:i4>
      </vt:variant>
      <vt:variant>
        <vt:lpwstr/>
      </vt:variant>
      <vt:variant>
        <vt:lpwstr>_Toc485319237</vt:lpwstr>
      </vt:variant>
      <vt:variant>
        <vt:i4>1441842</vt:i4>
      </vt:variant>
      <vt:variant>
        <vt:i4>110</vt:i4>
      </vt:variant>
      <vt:variant>
        <vt:i4>0</vt:i4>
      </vt:variant>
      <vt:variant>
        <vt:i4>5</vt:i4>
      </vt:variant>
      <vt:variant>
        <vt:lpwstr/>
      </vt:variant>
      <vt:variant>
        <vt:lpwstr>_Toc485319236</vt:lpwstr>
      </vt:variant>
      <vt:variant>
        <vt:i4>1441842</vt:i4>
      </vt:variant>
      <vt:variant>
        <vt:i4>104</vt:i4>
      </vt:variant>
      <vt:variant>
        <vt:i4>0</vt:i4>
      </vt:variant>
      <vt:variant>
        <vt:i4>5</vt:i4>
      </vt:variant>
      <vt:variant>
        <vt:lpwstr/>
      </vt:variant>
      <vt:variant>
        <vt:lpwstr>_Toc485319235</vt:lpwstr>
      </vt:variant>
      <vt:variant>
        <vt:i4>1441842</vt:i4>
      </vt:variant>
      <vt:variant>
        <vt:i4>98</vt:i4>
      </vt:variant>
      <vt:variant>
        <vt:i4>0</vt:i4>
      </vt:variant>
      <vt:variant>
        <vt:i4>5</vt:i4>
      </vt:variant>
      <vt:variant>
        <vt:lpwstr/>
      </vt:variant>
      <vt:variant>
        <vt:lpwstr>_Toc485319234</vt:lpwstr>
      </vt:variant>
      <vt:variant>
        <vt:i4>1441842</vt:i4>
      </vt:variant>
      <vt:variant>
        <vt:i4>92</vt:i4>
      </vt:variant>
      <vt:variant>
        <vt:i4>0</vt:i4>
      </vt:variant>
      <vt:variant>
        <vt:i4>5</vt:i4>
      </vt:variant>
      <vt:variant>
        <vt:lpwstr/>
      </vt:variant>
      <vt:variant>
        <vt:lpwstr>_Toc485319233</vt:lpwstr>
      </vt:variant>
      <vt:variant>
        <vt:i4>1441842</vt:i4>
      </vt:variant>
      <vt:variant>
        <vt:i4>86</vt:i4>
      </vt:variant>
      <vt:variant>
        <vt:i4>0</vt:i4>
      </vt:variant>
      <vt:variant>
        <vt:i4>5</vt:i4>
      </vt:variant>
      <vt:variant>
        <vt:lpwstr/>
      </vt:variant>
      <vt:variant>
        <vt:lpwstr>_Toc485319232</vt:lpwstr>
      </vt:variant>
      <vt:variant>
        <vt:i4>1441842</vt:i4>
      </vt:variant>
      <vt:variant>
        <vt:i4>80</vt:i4>
      </vt:variant>
      <vt:variant>
        <vt:i4>0</vt:i4>
      </vt:variant>
      <vt:variant>
        <vt:i4>5</vt:i4>
      </vt:variant>
      <vt:variant>
        <vt:lpwstr/>
      </vt:variant>
      <vt:variant>
        <vt:lpwstr>_Toc485319231</vt:lpwstr>
      </vt:variant>
      <vt:variant>
        <vt:i4>1441842</vt:i4>
      </vt:variant>
      <vt:variant>
        <vt:i4>74</vt:i4>
      </vt:variant>
      <vt:variant>
        <vt:i4>0</vt:i4>
      </vt:variant>
      <vt:variant>
        <vt:i4>5</vt:i4>
      </vt:variant>
      <vt:variant>
        <vt:lpwstr/>
      </vt:variant>
      <vt:variant>
        <vt:lpwstr>_Toc485319230</vt:lpwstr>
      </vt:variant>
      <vt:variant>
        <vt:i4>1507378</vt:i4>
      </vt:variant>
      <vt:variant>
        <vt:i4>68</vt:i4>
      </vt:variant>
      <vt:variant>
        <vt:i4>0</vt:i4>
      </vt:variant>
      <vt:variant>
        <vt:i4>5</vt:i4>
      </vt:variant>
      <vt:variant>
        <vt:lpwstr/>
      </vt:variant>
      <vt:variant>
        <vt:lpwstr>_Toc485319229</vt:lpwstr>
      </vt:variant>
      <vt:variant>
        <vt:i4>1507378</vt:i4>
      </vt:variant>
      <vt:variant>
        <vt:i4>62</vt:i4>
      </vt:variant>
      <vt:variant>
        <vt:i4>0</vt:i4>
      </vt:variant>
      <vt:variant>
        <vt:i4>5</vt:i4>
      </vt:variant>
      <vt:variant>
        <vt:lpwstr/>
      </vt:variant>
      <vt:variant>
        <vt:lpwstr>_Toc485319228</vt:lpwstr>
      </vt:variant>
      <vt:variant>
        <vt:i4>1507378</vt:i4>
      </vt:variant>
      <vt:variant>
        <vt:i4>56</vt:i4>
      </vt:variant>
      <vt:variant>
        <vt:i4>0</vt:i4>
      </vt:variant>
      <vt:variant>
        <vt:i4>5</vt:i4>
      </vt:variant>
      <vt:variant>
        <vt:lpwstr/>
      </vt:variant>
      <vt:variant>
        <vt:lpwstr>_Toc485319227</vt:lpwstr>
      </vt:variant>
      <vt:variant>
        <vt:i4>1507378</vt:i4>
      </vt:variant>
      <vt:variant>
        <vt:i4>50</vt:i4>
      </vt:variant>
      <vt:variant>
        <vt:i4>0</vt:i4>
      </vt:variant>
      <vt:variant>
        <vt:i4>5</vt:i4>
      </vt:variant>
      <vt:variant>
        <vt:lpwstr/>
      </vt:variant>
      <vt:variant>
        <vt:lpwstr>_Toc485319226</vt:lpwstr>
      </vt:variant>
      <vt:variant>
        <vt:i4>1507378</vt:i4>
      </vt:variant>
      <vt:variant>
        <vt:i4>44</vt:i4>
      </vt:variant>
      <vt:variant>
        <vt:i4>0</vt:i4>
      </vt:variant>
      <vt:variant>
        <vt:i4>5</vt:i4>
      </vt:variant>
      <vt:variant>
        <vt:lpwstr/>
      </vt:variant>
      <vt:variant>
        <vt:lpwstr>_Toc485319225</vt:lpwstr>
      </vt:variant>
      <vt:variant>
        <vt:i4>1507378</vt:i4>
      </vt:variant>
      <vt:variant>
        <vt:i4>38</vt:i4>
      </vt:variant>
      <vt:variant>
        <vt:i4>0</vt:i4>
      </vt:variant>
      <vt:variant>
        <vt:i4>5</vt:i4>
      </vt:variant>
      <vt:variant>
        <vt:lpwstr/>
      </vt:variant>
      <vt:variant>
        <vt:lpwstr>_Toc485319224</vt:lpwstr>
      </vt:variant>
      <vt:variant>
        <vt:i4>1507378</vt:i4>
      </vt:variant>
      <vt:variant>
        <vt:i4>32</vt:i4>
      </vt:variant>
      <vt:variant>
        <vt:i4>0</vt:i4>
      </vt:variant>
      <vt:variant>
        <vt:i4>5</vt:i4>
      </vt:variant>
      <vt:variant>
        <vt:lpwstr/>
      </vt:variant>
      <vt:variant>
        <vt:lpwstr>_Toc485319223</vt:lpwstr>
      </vt:variant>
      <vt:variant>
        <vt:i4>1507378</vt:i4>
      </vt:variant>
      <vt:variant>
        <vt:i4>26</vt:i4>
      </vt:variant>
      <vt:variant>
        <vt:i4>0</vt:i4>
      </vt:variant>
      <vt:variant>
        <vt:i4>5</vt:i4>
      </vt:variant>
      <vt:variant>
        <vt:lpwstr/>
      </vt:variant>
      <vt:variant>
        <vt:lpwstr>_Toc485319222</vt:lpwstr>
      </vt:variant>
      <vt:variant>
        <vt:i4>1507378</vt:i4>
      </vt:variant>
      <vt:variant>
        <vt:i4>20</vt:i4>
      </vt:variant>
      <vt:variant>
        <vt:i4>0</vt:i4>
      </vt:variant>
      <vt:variant>
        <vt:i4>5</vt:i4>
      </vt:variant>
      <vt:variant>
        <vt:lpwstr/>
      </vt:variant>
      <vt:variant>
        <vt:lpwstr>_Toc485319221</vt:lpwstr>
      </vt:variant>
      <vt:variant>
        <vt:i4>1507378</vt:i4>
      </vt:variant>
      <vt:variant>
        <vt:i4>14</vt:i4>
      </vt:variant>
      <vt:variant>
        <vt:i4>0</vt:i4>
      </vt:variant>
      <vt:variant>
        <vt:i4>5</vt:i4>
      </vt:variant>
      <vt:variant>
        <vt:lpwstr/>
      </vt:variant>
      <vt:variant>
        <vt:lpwstr>_Toc485319220</vt:lpwstr>
      </vt:variant>
      <vt:variant>
        <vt:i4>1310770</vt:i4>
      </vt:variant>
      <vt:variant>
        <vt:i4>8</vt:i4>
      </vt:variant>
      <vt:variant>
        <vt:i4>0</vt:i4>
      </vt:variant>
      <vt:variant>
        <vt:i4>5</vt:i4>
      </vt:variant>
      <vt:variant>
        <vt:lpwstr/>
      </vt:variant>
      <vt:variant>
        <vt:lpwstr>_Toc485319219</vt:lpwstr>
      </vt:variant>
      <vt:variant>
        <vt:i4>1310770</vt:i4>
      </vt:variant>
      <vt:variant>
        <vt:i4>2</vt:i4>
      </vt:variant>
      <vt:variant>
        <vt:i4>0</vt:i4>
      </vt:variant>
      <vt:variant>
        <vt:i4>5</vt:i4>
      </vt:variant>
      <vt:variant>
        <vt:lpwstr/>
      </vt:variant>
      <vt:variant>
        <vt:lpwstr>_Toc485319218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ACADÊMICO</dc:title>
  <dc:subject/>
  <dc:creator>UNESC</dc:creator>
  <cp:keywords/>
  <dc:description/>
  <cp:lastModifiedBy>Fabio Moraes</cp:lastModifiedBy>
  <cp:revision>59</cp:revision>
  <cp:lastPrinted>2020-01-23T02:57:00Z</cp:lastPrinted>
  <dcterms:created xsi:type="dcterms:W3CDTF">2022-03-26T21:02:00Z</dcterms:created>
  <dcterms:modified xsi:type="dcterms:W3CDTF">2022-04-15T22:23:00Z</dcterms:modified>
</cp:coreProperties>
</file>